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atLeast"/>
        <w:jc w:val="center"/>
        <w:rPr>
          <w:rFonts w:hint="eastAsia" w:ascii="仿宋" w:hAnsi="仿宋" w:eastAsia="仿宋" w:cs="仿宋"/>
          <w:b/>
          <w:color w:val="auto"/>
          <w:spacing w:val="2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color w:val="auto"/>
          <w:spacing w:val="20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314960</wp:posOffset>
            </wp:positionV>
            <wp:extent cx="2828925" cy="601345"/>
            <wp:effectExtent l="0" t="0" r="5715" b="0"/>
            <wp:wrapNone/>
            <wp:docPr id="72" name="图片 72" descr="C:\Users\12173\Desktop\4x\资源 1@4x.png资源 1@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12173\Desktop\4x\资源 1@4x.png资源 1@4x"/>
                    <pic:cNvPicPr>
                      <a:picLocks noChangeAspect="1"/>
                    </pic:cNvPicPr>
                  </pic:nvPicPr>
                  <pic:blipFill>
                    <a:blip r:embed="rId9"/>
                    <a:srcRect r="1068" b="4806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color w:val="auto"/>
          <w:spacing w:val="2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</w:rPr>
        <w:t xml:space="preserve">                                         </w:t>
      </w:r>
    </w:p>
    <w:p>
      <w:pPr>
        <w:pStyle w:val="15"/>
        <w:widowControl/>
        <w:ind w:left="0"/>
        <w:jc w:val="both"/>
        <w:rPr>
          <w:rFonts w:hint="eastAsia" w:ascii="仿宋" w:hAnsi="仿宋" w:eastAsia="仿宋" w:cs="仿宋"/>
          <w:b/>
          <w:color w:val="auto"/>
          <w:spacing w:val="20"/>
          <w:sz w:val="36"/>
          <w:szCs w:val="36"/>
          <w:lang w:eastAsia="zh-CN"/>
        </w:rPr>
      </w:pPr>
    </w:p>
    <w:p>
      <w:pPr>
        <w:spacing w:line="420" w:lineRule="atLeast"/>
        <w:jc w:val="both"/>
        <w:rPr>
          <w:rFonts w:hint="eastAsia" w:ascii="仿宋" w:hAnsi="仿宋" w:eastAsia="仿宋" w:cs="仿宋"/>
          <w:b/>
          <w:color w:val="auto"/>
          <w:spacing w:val="20"/>
          <w:sz w:val="30"/>
          <w:szCs w:val="30"/>
        </w:rPr>
      </w:pPr>
    </w:p>
    <w:p>
      <w:pPr>
        <w:spacing w:line="420" w:lineRule="atLeast"/>
        <w:jc w:val="center"/>
        <w:rPr>
          <w:rFonts w:hint="eastAsia" w:ascii="仿宋" w:hAnsi="仿宋" w:eastAsia="仿宋" w:cs="仿宋"/>
          <w:b/>
          <w:snapToGrid w:val="0"/>
          <w:color w:val="auto"/>
          <w:sz w:val="36"/>
          <w:szCs w:val="36"/>
        </w:rPr>
      </w:pPr>
      <w:r>
        <w:rPr>
          <w:rFonts w:hint="eastAsia" w:ascii="仿宋" w:hAnsi="仿宋" w:eastAsia="仿宋" w:cs="仿宋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159385</wp:posOffset>
                </wp:positionV>
                <wp:extent cx="824230" cy="6233795"/>
                <wp:effectExtent l="0" t="0" r="1397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3230" y="3839845"/>
                          <a:ext cx="824230" cy="623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仿宋" w:hAnsi="仿宋" w:eastAsia="仿宋" w:cs="仿宋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智能充电平台PC端功能介绍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功能介绍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25pt;margin-top:12.55pt;height:490.85pt;width:64.9pt;z-index:251660288;mso-width-relative:page;mso-height-relative:page;" fillcolor="#FFFFFF [3201]" filled="t" stroked="f" coordsize="21600,21600" o:gfxdata="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SwnhdgAAAALAQAADwAAAAAAAAABACAAAAAiAAAAZHJzL2Rvd25yZXYueG1sUEsBAhQAFAAAAAgA&#10;h07iQAvukyReAgAAnQQAAA4AAAAAAAAAAQAgAAAAJw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智能充电平台PC端功能介绍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功能介绍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color w:val="auto"/>
          <w:spacing w:val="20"/>
          <w:sz w:val="40"/>
          <w:szCs w:val="40"/>
        </w:rPr>
      </w:pPr>
    </w:p>
    <w:p>
      <w:pPr>
        <w:spacing w:line="240" w:lineRule="auto"/>
        <w:jc w:val="both"/>
        <w:rPr>
          <w:rFonts w:hint="eastAsia" w:ascii="仿宋" w:hAnsi="仿宋" w:eastAsia="仿宋" w:cs="仿宋"/>
          <w:b/>
          <w:color w:val="auto"/>
          <w:spacing w:val="20"/>
          <w:sz w:val="30"/>
          <w:szCs w:val="30"/>
        </w:rPr>
      </w:pPr>
    </w:p>
    <w:p>
      <w:pPr>
        <w:spacing w:line="420" w:lineRule="atLeast"/>
        <w:jc w:val="center"/>
        <w:rPr>
          <w:rFonts w:hint="eastAsia" w:ascii="仿宋" w:hAnsi="仿宋" w:eastAsia="仿宋" w:cs="仿宋"/>
          <w:b/>
          <w:color w:val="auto"/>
          <w:spacing w:val="20"/>
          <w:sz w:val="30"/>
          <w:szCs w:val="30"/>
        </w:rPr>
      </w:pPr>
    </w:p>
    <w:p>
      <w:pPr>
        <w:spacing w:line="420" w:lineRule="atLeast"/>
        <w:jc w:val="center"/>
        <w:rPr>
          <w:rFonts w:hint="eastAsia" w:ascii="仿宋" w:hAnsi="仿宋" w:eastAsia="仿宋" w:cs="仿宋"/>
          <w:b/>
          <w:color w:val="auto"/>
          <w:spacing w:val="20"/>
          <w:sz w:val="30"/>
          <w:szCs w:val="30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pStyle w:val="15"/>
        <w:widowControl/>
        <w:ind w:left="0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eastAsia="zh-CN"/>
        </w:rPr>
      </w:pPr>
    </w:p>
    <w:p>
      <w:pPr>
        <w:jc w:val="center"/>
        <w:outlineLvl w:val="0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</w:pPr>
      <w:bookmarkStart w:id="0" w:name="_Toc21732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>广东省友电数字新能源集团有限公司</w:t>
      </w:r>
      <w:bookmarkEnd w:id="0"/>
    </w:p>
    <w:p>
      <w:pPr>
        <w:jc w:val="center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3" w:bottom="1440" w:left="1803" w:header="851" w:footer="227" w:gutter="0"/>
          <w:pgNumType w:fmt="decimal" w:start="1"/>
          <w:cols w:space="0" w:num="1"/>
          <w:titlePg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>2024年5月31日版本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1"/>
        </w:rPr>
        <w:t>目录</w:t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TOC \o "1-3" \h \u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_Toc21732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kern w:val="0"/>
          <w:szCs w:val="28"/>
          <w:lang w:val="en-US" w:eastAsia="zh-CN"/>
        </w:rPr>
        <w:t>广东省友电数字新能源集团有限公司</w:t>
      </w:r>
      <w:r>
        <w:tab/>
      </w:r>
      <w:r>
        <w:fldChar w:fldCharType="begin"/>
      </w:r>
      <w:r>
        <w:instrText xml:space="preserve"> PAGEREF _Toc21732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_Toc3429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lang w:val="en-US" w:eastAsia="zh-CN"/>
        </w:rPr>
        <w:t>一、 系统登录</w:t>
      </w:r>
      <w:r>
        <w:tab/>
      </w:r>
      <w:r>
        <w:fldChar w:fldCharType="begin"/>
      </w:r>
      <w:r>
        <w:instrText xml:space="preserve"> PAGEREF _Toc3429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_Toc32132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二、 运营管理</w:t>
      </w:r>
      <w:r>
        <w:tab/>
      </w:r>
      <w:r>
        <w:fldChar w:fldCharType="begin"/>
      </w:r>
      <w:r>
        <w:instrText xml:space="preserve"> PAGEREF _Toc32132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_Toc7926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1、 小区管理-小区信息</w:t>
      </w:r>
      <w:r>
        <w:tab/>
      </w:r>
      <w:r>
        <w:fldChar w:fldCharType="begin"/>
      </w:r>
      <w:r>
        <w:instrText xml:space="preserve"> PAGEREF _Toc7926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_Toc26911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1.1用户自主退款</w:t>
      </w:r>
      <w:r>
        <w:tab/>
      </w:r>
      <w:r>
        <w:fldChar w:fldCharType="begin"/>
      </w:r>
      <w:r>
        <w:instrText xml:space="preserve"> PAGEREF _Toc26911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_Toc13142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1.2强制绑手机</w:t>
      </w:r>
      <w:r>
        <w:tab/>
      </w:r>
      <w:r>
        <w:fldChar w:fldCharType="begin"/>
      </w:r>
      <w:r>
        <w:instrText xml:space="preserve"> PAGEREF _Toc13142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_Toc32266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1.3操作</w:t>
      </w:r>
      <w:r>
        <w:tab/>
      </w:r>
      <w:r>
        <w:fldChar w:fldCharType="begin"/>
      </w:r>
      <w:r>
        <w:instrText xml:space="preserve"> PAGEREF _Toc32266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_Toc30610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lang w:val="en-US" w:eastAsia="zh-CN"/>
        </w:rPr>
        <w:t>只支持交流桩的预约充电，直流翻牌率高，不利于场地运营。</w:t>
      </w:r>
      <w:r>
        <w:tab/>
      </w:r>
      <w:r>
        <w:fldChar w:fldCharType="begin"/>
      </w:r>
      <w:r>
        <w:instrText xml:space="preserve"> PAGEREF _Toc30610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_Toc15617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2、 </w:t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小区管理-待审核小区</w:t>
      </w:r>
      <w:r>
        <w:tab/>
      </w:r>
      <w:r>
        <w:fldChar w:fldCharType="begin"/>
      </w:r>
      <w:r>
        <w:instrText xml:space="preserve"> PAGEREF _Toc15617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_Toc22990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3、 </w:t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小区管理-小区资金池</w:t>
      </w:r>
      <w:r>
        <w:tab/>
      </w:r>
      <w:r>
        <w:fldChar w:fldCharType="begin"/>
      </w:r>
      <w:r>
        <w:instrText xml:space="preserve"> PAGEREF _Toc22990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_Toc29320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4、 </w:t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小区管理-小区资金池</w:t>
      </w:r>
      <w:r>
        <w:tab/>
      </w:r>
      <w:r>
        <w:fldChar w:fldCharType="begin"/>
      </w:r>
      <w:r>
        <w:instrText xml:space="preserve"> PAGEREF _Toc29320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_Toc30636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lang w:val="en-US" w:eastAsia="zh-CN"/>
        </w:rPr>
        <w:t>三、 系统首页</w:t>
      </w:r>
      <w:r>
        <w:tab/>
      </w:r>
      <w:r>
        <w:fldChar w:fldCharType="begin"/>
      </w:r>
      <w:r>
        <w:instrText xml:space="preserve"> PAGEREF _Toc30636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_Toc25658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四、 设备管理</w:t>
      </w:r>
      <w:r>
        <w:tab/>
      </w:r>
      <w:r>
        <w:fldChar w:fldCharType="begin"/>
      </w:r>
      <w:r>
        <w:instrText xml:space="preserve"> PAGEREF _Toc25658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_Toc11472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1、 设备管理-电桩管理</w:t>
      </w:r>
      <w:r>
        <w:tab/>
      </w:r>
      <w:r>
        <w:fldChar w:fldCharType="begin"/>
      </w:r>
      <w:r>
        <w:instrText xml:space="preserve"> PAGEREF _Toc11472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_Toc25024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1.1查看设备端口二维码</w:t>
      </w:r>
      <w:r>
        <w:tab/>
      </w:r>
      <w:r>
        <w:fldChar w:fldCharType="begin"/>
      </w:r>
      <w:r>
        <w:instrText xml:space="preserve"> PAGEREF _Toc25024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_Toc10892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1.2查看主机</w:t>
      </w:r>
      <w:r>
        <w:tab/>
      </w:r>
      <w:r>
        <w:fldChar w:fldCharType="begin"/>
      </w:r>
      <w:r>
        <w:instrText xml:space="preserve"> PAGEREF _Toc10892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_Toc7745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1.3极限参数</w:t>
      </w:r>
      <w:r>
        <w:tab/>
      </w:r>
      <w:r>
        <w:fldChar w:fldCharType="begin"/>
      </w:r>
      <w:r>
        <w:instrText xml:space="preserve"> PAGEREF _Toc7745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_Toc2564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1.3端口绑定</w:t>
      </w:r>
      <w:r>
        <w:tab/>
      </w:r>
      <w:r>
        <w:fldChar w:fldCharType="begin"/>
      </w:r>
      <w:r>
        <w:instrText xml:space="preserve"> PAGEREF _Toc2564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_Toc7816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1.4更多菜单</w:t>
      </w:r>
      <w:r>
        <w:tab/>
      </w:r>
      <w:r>
        <w:fldChar w:fldCharType="begin"/>
      </w:r>
      <w:r>
        <w:instrText xml:space="preserve"> PAGEREF _Toc7816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_Toc5185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五、 订单管理</w:t>
      </w:r>
      <w:r>
        <w:tab/>
      </w:r>
      <w:r>
        <w:fldChar w:fldCharType="begin"/>
      </w:r>
      <w:r>
        <w:instrText xml:space="preserve"> PAGEREF _Toc5185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_Toc10554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1、 正常订单</w:t>
      </w:r>
      <w:r>
        <w:tab/>
      </w:r>
      <w:r>
        <w:fldChar w:fldCharType="begin"/>
      </w:r>
      <w:r>
        <w:instrText xml:space="preserve"> PAGEREF _Toc10554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_Toc6157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1.1订单详情</w:t>
      </w:r>
      <w:r>
        <w:tab/>
      </w:r>
      <w:r>
        <w:fldChar w:fldCharType="begin"/>
      </w:r>
      <w:r>
        <w:instrText xml:space="preserve"> PAGEREF _Toc6157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_Toc20941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1.2手动结算</w:t>
      </w:r>
      <w:r>
        <w:tab/>
      </w:r>
      <w:r>
        <w:fldChar w:fldCharType="begin"/>
      </w:r>
      <w:r>
        <w:instrText xml:space="preserve"> PAGEREF _Toc20941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_Toc9108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1.3消费订单导出</w:t>
      </w:r>
      <w:r>
        <w:tab/>
      </w:r>
      <w:r>
        <w:fldChar w:fldCharType="begin"/>
      </w:r>
      <w:r>
        <w:instrText xml:space="preserve"> PAGEREF _Toc9108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_Toc15389 </w:instrText>
      </w:r>
      <w:r>
        <w:rPr>
          <w:rFonts w:hint="eastAsia" w:ascii="仿宋" w:hAnsi="仿宋" w:eastAsia="仿宋" w:cs="仿宋"/>
        </w:rPr>
        <w:fldChar w:fldCharType="separate"/>
      </w:r>
      <w:r>
        <w:t xml:space="preserve">2、 </w:t>
      </w:r>
      <w:r>
        <w:rPr>
          <w:rFonts w:hint="eastAsia" w:ascii="仿宋" w:hAnsi="仿宋" w:eastAsia="仿宋" w:cs="仿宋"/>
          <w:bCs/>
          <w:lang w:val="en-US" w:eastAsia="zh-CN"/>
        </w:rPr>
        <w:t>预约订单</w:t>
      </w:r>
      <w:r>
        <w:tab/>
      </w:r>
      <w:r>
        <w:fldChar w:fldCharType="begin"/>
      </w:r>
      <w:r>
        <w:instrText xml:space="preserve"> PAGEREF _Toc15389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_Toc26647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六、 经营状况</w:t>
      </w:r>
      <w:r>
        <w:tab/>
      </w:r>
      <w:r>
        <w:fldChar w:fldCharType="begin"/>
      </w:r>
      <w:r>
        <w:instrText xml:space="preserve"> PAGEREF _Toc26647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_Toc26072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1、报表中心</w:t>
      </w:r>
      <w:r>
        <w:tab/>
      </w:r>
      <w:r>
        <w:fldChar w:fldCharType="begin"/>
      </w:r>
      <w:r>
        <w:instrText xml:space="preserve"> PAGEREF _Toc26072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_Toc58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1.1小区报表</w:t>
      </w:r>
      <w:r>
        <w:tab/>
      </w:r>
      <w:r>
        <w:fldChar w:fldCharType="begin"/>
      </w:r>
      <w:r>
        <w:instrText xml:space="preserve"> PAGEREF _Toc58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_Toc27669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1.2电桩报表</w:t>
      </w:r>
      <w:r>
        <w:tab/>
      </w:r>
      <w:r>
        <w:fldChar w:fldCharType="begin"/>
      </w:r>
      <w:r>
        <w:instrText xml:space="preserve"> PAGEREF _Toc27669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_Toc21935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lang w:val="en-US" w:eastAsia="zh-CN"/>
        </w:rPr>
        <w:t>1.3用户报表</w:t>
      </w:r>
      <w:r>
        <w:tab/>
      </w:r>
      <w:r>
        <w:fldChar w:fldCharType="begin"/>
      </w:r>
      <w:r>
        <w:instrText xml:space="preserve"> PAGEREF _Toc21935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_Toc14032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2、经营分析</w:t>
      </w:r>
      <w:r>
        <w:tab/>
      </w:r>
      <w:r>
        <w:fldChar w:fldCharType="begin"/>
      </w:r>
      <w:r>
        <w:instrText xml:space="preserve"> PAGEREF _Toc14032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_Toc2382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七、 发票管理</w:t>
      </w:r>
      <w:r>
        <w:tab/>
      </w:r>
      <w:r>
        <w:fldChar w:fldCharType="begin"/>
      </w:r>
      <w:r>
        <w:instrText xml:space="preserve"> PAGEREF _Toc2382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_Toc294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4"/>
          <w:lang w:val="en-US" w:eastAsia="zh-CN"/>
        </w:rPr>
        <w:t>1、 支持自动开票与手动开票两种方式</w:t>
      </w:r>
      <w:r>
        <w:tab/>
      </w:r>
      <w:r>
        <w:fldChar w:fldCharType="begin"/>
      </w:r>
      <w:r>
        <w:instrText xml:space="preserve"> PAGEREF _Toc294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_Toc6360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4"/>
          <w:lang w:val="en-US" w:eastAsia="zh-CN"/>
        </w:rPr>
        <w:t>1.1自动开票</w:t>
      </w:r>
      <w:r>
        <w:tab/>
      </w:r>
      <w:r>
        <w:fldChar w:fldCharType="begin"/>
      </w:r>
      <w:r>
        <w:instrText xml:space="preserve"> PAGEREF _Toc6360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_Toc11392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4"/>
          <w:lang w:val="en-US" w:eastAsia="zh-CN"/>
        </w:rPr>
        <w:t>1.2手动开票</w:t>
      </w:r>
      <w:r>
        <w:tab/>
      </w:r>
      <w:r>
        <w:fldChar w:fldCharType="begin"/>
      </w:r>
      <w:r>
        <w:instrText xml:space="preserve"> PAGEREF _Toc11392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_Toc6142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八、 用户管理</w:t>
      </w:r>
      <w:r>
        <w:tab/>
      </w:r>
      <w:r>
        <w:fldChar w:fldCharType="begin"/>
      </w:r>
      <w:r>
        <w:instrText xml:space="preserve"> PAGEREF _Toc6142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_Toc32275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1、 用户管理-用户管理</w:t>
      </w:r>
      <w:r>
        <w:tab/>
      </w:r>
      <w:r>
        <w:fldChar w:fldCharType="begin"/>
      </w:r>
      <w:r>
        <w:instrText xml:space="preserve"> PAGEREF _Toc32275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_Toc15963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1.1余额退款</w:t>
      </w:r>
      <w:r>
        <w:tab/>
      </w:r>
      <w:r>
        <w:fldChar w:fldCharType="begin"/>
      </w:r>
      <w:r>
        <w:instrText xml:space="preserve"> PAGEREF _Toc15963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_Toc8539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1.2编辑赠送</w:t>
      </w:r>
      <w:r>
        <w:tab/>
      </w:r>
      <w:r>
        <w:fldChar w:fldCharType="begin"/>
      </w:r>
      <w:r>
        <w:instrText xml:space="preserve"> PAGEREF _Toc8539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_Toc23172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1.3解绑小区</w:t>
      </w:r>
      <w:r>
        <w:tab/>
      </w:r>
      <w:r>
        <w:fldChar w:fldCharType="begin"/>
      </w:r>
      <w:r>
        <w:instrText xml:space="preserve"> PAGEREF _Toc23172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_Toc24447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1.4编辑资料</w:t>
      </w:r>
      <w:r>
        <w:tab/>
      </w:r>
      <w:r>
        <w:fldChar w:fldCharType="begin"/>
      </w:r>
      <w:r>
        <w:instrText xml:space="preserve"> PAGEREF _Toc24447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_Toc31326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1.5账户清零</w:t>
      </w:r>
      <w:r>
        <w:tab/>
      </w:r>
      <w:r>
        <w:fldChar w:fldCharType="begin"/>
      </w:r>
      <w:r>
        <w:instrText xml:space="preserve"> PAGEREF _Toc31326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_Toc15037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2、 用户管理-账户明细</w:t>
      </w:r>
      <w:r>
        <w:tab/>
      </w:r>
      <w:r>
        <w:fldChar w:fldCharType="begin"/>
      </w:r>
      <w:r>
        <w:instrText xml:space="preserve"> PAGEREF _Toc15037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_Toc23384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 xml:space="preserve">3、 </w:t>
      </w:r>
      <w:r>
        <w:rPr>
          <w:rFonts w:hint="eastAsia" w:ascii="仿宋" w:hAnsi="仿宋" w:eastAsia="仿宋" w:cs="仿宋"/>
          <w:szCs w:val="21"/>
          <w:lang w:val="en-US" w:eastAsia="zh-CN"/>
        </w:rPr>
        <w:t>用户管理-账户充值</w:t>
      </w:r>
      <w:r>
        <w:tab/>
      </w:r>
      <w:r>
        <w:fldChar w:fldCharType="begin"/>
      </w:r>
      <w:r>
        <w:instrText xml:space="preserve"> PAGEREF _Toc23384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_Toc22098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3.1用户管理-临时充值</w:t>
      </w:r>
      <w:r>
        <w:tab/>
      </w:r>
      <w:r>
        <w:fldChar w:fldCharType="begin"/>
      </w:r>
      <w:r>
        <w:instrText xml:space="preserve"> PAGEREF _Toc22098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_Toc2360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 xml:space="preserve">4、 </w:t>
      </w:r>
      <w:r>
        <w:rPr>
          <w:rFonts w:hint="eastAsia" w:ascii="仿宋" w:hAnsi="仿宋" w:eastAsia="仿宋" w:cs="仿宋"/>
          <w:szCs w:val="21"/>
          <w:lang w:val="en-US" w:eastAsia="zh-CN"/>
        </w:rPr>
        <w:t>用户管理-用户退款</w:t>
      </w:r>
      <w:r>
        <w:tab/>
      </w:r>
      <w:r>
        <w:fldChar w:fldCharType="begin"/>
      </w:r>
      <w:r>
        <w:instrText xml:space="preserve"> PAGEREF _Toc2360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_Toc5748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 xml:space="preserve">5、 </w:t>
      </w:r>
      <w:r>
        <w:rPr>
          <w:rFonts w:hint="eastAsia" w:ascii="仿宋" w:hAnsi="仿宋" w:eastAsia="仿宋" w:cs="仿宋"/>
          <w:szCs w:val="21"/>
          <w:lang w:val="en-US" w:eastAsia="zh-CN"/>
        </w:rPr>
        <w:t>用户管理-退款失败记录</w:t>
      </w:r>
      <w:r>
        <w:tab/>
      </w:r>
      <w:r>
        <w:fldChar w:fldCharType="begin"/>
      </w:r>
      <w:r>
        <w:instrText xml:space="preserve"> PAGEREF _Toc5748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_Toc2211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九、 三方支付信息</w:t>
      </w:r>
      <w:r>
        <w:tab/>
      </w:r>
      <w:r>
        <w:fldChar w:fldCharType="begin"/>
      </w:r>
      <w:r>
        <w:instrText xml:space="preserve"> PAGEREF _Toc2211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_Toc350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/>
          <w:szCs w:val="21"/>
          <w:lang w:val="en-US" w:eastAsia="zh-CN"/>
        </w:rPr>
        <w:t>1、 企业商户信息</w:t>
      </w:r>
      <w:r>
        <w:tab/>
      </w:r>
      <w:r>
        <w:fldChar w:fldCharType="begin"/>
      </w:r>
      <w:r>
        <w:instrText xml:space="preserve"> PAGEREF _Toc350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_Toc4740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Cs w:val="0"/>
          <w:szCs w:val="21"/>
          <w:lang w:val="en-US" w:eastAsia="zh-CN"/>
        </w:rPr>
        <w:t>2、 收益提现</w:t>
      </w:r>
      <w:r>
        <w:tab/>
      </w:r>
      <w:r>
        <w:fldChar w:fldCharType="begin"/>
      </w:r>
      <w:r>
        <w:instrText xml:space="preserve"> PAGEREF _Toc4740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_Toc29055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十、 通知公告</w:t>
      </w:r>
      <w:r>
        <w:tab/>
      </w:r>
      <w:r>
        <w:fldChar w:fldCharType="begin"/>
      </w:r>
      <w:r>
        <w:instrText xml:space="preserve"> PAGEREF _Toc29055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_Toc20471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1公众号公告</w:t>
      </w:r>
      <w:r>
        <w:tab/>
      </w:r>
      <w:r>
        <w:fldChar w:fldCharType="begin"/>
      </w:r>
      <w:r>
        <w:instrText xml:space="preserve"> PAGEREF _Toc20471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_Toc27203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1小区公告</w:t>
      </w:r>
      <w:r>
        <w:tab/>
      </w:r>
      <w:r>
        <w:fldChar w:fldCharType="begin"/>
      </w:r>
      <w:r>
        <w:instrText xml:space="preserve"> PAGEREF _Toc27203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_Toc17012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十一、 导出管理</w:t>
      </w:r>
      <w:r>
        <w:tab/>
      </w:r>
      <w:r>
        <w:fldChar w:fldCharType="begin"/>
      </w:r>
      <w:r>
        <w:instrText xml:space="preserve"> PAGEREF _Toc17012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_Toc11285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 xml:space="preserve">十二、 </w:t>
      </w:r>
      <w:r>
        <w:rPr>
          <w:rFonts w:hint="eastAsia" w:ascii="仿宋" w:hAnsi="仿宋" w:eastAsia="仿宋" w:cs="仿宋"/>
          <w:lang w:val="en-US" w:eastAsia="zh-CN"/>
        </w:rPr>
        <w:t>用户反馈</w:t>
      </w:r>
      <w:r>
        <w:tab/>
      </w:r>
      <w:r>
        <w:fldChar w:fldCharType="begin"/>
      </w:r>
      <w:r>
        <w:instrText xml:space="preserve"> PAGEREF _Toc11285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_Toc8766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1故障反馈</w:t>
      </w:r>
      <w:r>
        <w:tab/>
      </w:r>
      <w:r>
        <w:fldChar w:fldCharType="begin"/>
      </w:r>
      <w:r>
        <w:instrText xml:space="preserve"> PAGEREF _Toc8766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_Toc18831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2退款反馈</w:t>
      </w:r>
      <w:r>
        <w:tab/>
      </w:r>
      <w:r>
        <w:fldChar w:fldCharType="begin"/>
      </w:r>
      <w:r>
        <w:instrText xml:space="preserve"> PAGEREF _Toc18831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_Toc3433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Cs w:val="21"/>
          <w:lang w:val="en-US" w:eastAsia="zh-CN"/>
        </w:rPr>
        <w:t>3意见反馈</w:t>
      </w:r>
      <w:r>
        <w:tab/>
      </w:r>
      <w:r>
        <w:fldChar w:fldCharType="begin"/>
      </w:r>
      <w:r>
        <w:instrText xml:space="preserve"> PAGEREF _Toc3433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end"/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/>
    <w:p/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b/>
          <w:bCs w:val="0"/>
          <w:lang w:val="en-US" w:eastAsia="zh-CN"/>
        </w:rPr>
      </w:pPr>
      <w:bookmarkStart w:id="1" w:name="_Toc7893"/>
      <w:bookmarkStart w:id="2" w:name="_Toc3429"/>
      <w:r>
        <w:rPr>
          <w:rFonts w:hint="eastAsia" w:ascii="仿宋" w:hAnsi="仿宋" w:eastAsia="仿宋" w:cs="仿宋"/>
          <w:b/>
          <w:bCs w:val="0"/>
          <w:lang w:val="en-US" w:eastAsia="zh-CN"/>
        </w:rPr>
        <w:t>系统登录</w:t>
      </w:r>
      <w:bookmarkEnd w:id="1"/>
      <w:bookmarkEnd w:id="2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"https://admin.udianwulian.com/#/index"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Style w:val="13"/>
          <w:rFonts w:hint="eastAsia" w:ascii="仿宋" w:hAnsi="仿宋" w:eastAsia="仿宋" w:cs="仿宋"/>
          <w:lang w:val="en-US" w:eastAsia="zh-CN"/>
        </w:rPr>
        <w:t>https://admin.udianwulian.com/#/index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输入用户名、密码，登录系统。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429000"/>
            <wp:effectExtent l="0" t="0" r="63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3" w:name="_Toc23786"/>
      <w:bookmarkStart w:id="4" w:name="_Toc32132"/>
      <w:bookmarkStart w:id="5" w:name="_Toc25050"/>
      <w:r>
        <w:rPr>
          <w:rFonts w:hint="eastAsia" w:ascii="仿宋" w:hAnsi="仿宋" w:eastAsia="仿宋" w:cs="仿宋"/>
          <w:lang w:val="en-US" w:eastAsia="zh-CN"/>
        </w:rPr>
        <w:t>运营管理</w:t>
      </w:r>
      <w:bookmarkEnd w:id="3"/>
      <w:bookmarkEnd w:id="4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3"/>
        </w:numPr>
        <w:bidi w:val="0"/>
        <w:outlineLvl w:val="1"/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</w:pPr>
      <w:bookmarkStart w:id="6" w:name="_Toc3985"/>
      <w:bookmarkStart w:id="7" w:name="_Toc7926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小区管理-小区信息</w:t>
      </w:r>
      <w:bookmarkEnd w:id="6"/>
      <w:bookmarkEnd w:id="7"/>
    </w:p>
    <w:p>
      <w:pPr>
        <w:pStyle w:val="2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可根据手机号、运营商用户编号、小区名称、地区搜索。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081020"/>
            <wp:effectExtent l="0" t="0" r="635" b="1270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8" w:name="_Toc31628"/>
      <w:bookmarkStart w:id="9" w:name="_Toc26911"/>
      <w:r>
        <w:rPr>
          <w:rFonts w:hint="eastAsia" w:ascii="仿宋" w:hAnsi="仿宋" w:eastAsia="仿宋" w:cs="仿宋"/>
          <w:b/>
          <w:bCs/>
          <w:lang w:val="en-US" w:eastAsia="zh-CN"/>
        </w:rPr>
        <w:t>1.1用户自主退款</w:t>
      </w:r>
      <w:bookmarkEnd w:id="8"/>
      <w:bookmarkEnd w:id="9"/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每个小区可以单独关闭或者开启用户端的余额申请退款渠道。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325" cy="499110"/>
            <wp:effectExtent l="0" t="0" r="5715" b="381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10" w:name="_Toc7544"/>
      <w:bookmarkStart w:id="11" w:name="_Toc13142"/>
      <w:r>
        <w:rPr>
          <w:rFonts w:hint="eastAsia" w:ascii="仿宋" w:hAnsi="仿宋" w:eastAsia="仿宋" w:cs="仿宋"/>
          <w:b/>
          <w:bCs/>
          <w:lang w:val="en-US" w:eastAsia="zh-CN"/>
        </w:rPr>
        <w:t>1.2强制绑手机</w:t>
      </w:r>
      <w:bookmarkEnd w:id="10"/>
      <w:bookmarkEnd w:id="11"/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每个小区可以单独关闭或者开启。这个功能是用来获取用户的手机号码。需要购买腾讯云短信套餐配合使用。价格：（470元/1万条/2年），费用由腾讯收取。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495300"/>
            <wp:effectExtent l="0" t="0" r="11430" b="762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12" w:name="_Toc28939"/>
      <w:bookmarkStart w:id="13" w:name="_Toc32266"/>
      <w:r>
        <w:rPr>
          <w:rFonts w:hint="eastAsia" w:ascii="仿宋" w:hAnsi="仿宋" w:eastAsia="仿宋" w:cs="仿宋"/>
          <w:b/>
          <w:bCs/>
          <w:lang w:val="en-US" w:eastAsia="zh-CN"/>
        </w:rPr>
        <w:t>1.3操作</w:t>
      </w:r>
      <w:bookmarkEnd w:id="12"/>
      <w:bookmarkEnd w:id="13"/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574040"/>
            <wp:effectExtent l="0" t="0" r="7620" b="508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1.3.1详情↓</w:t>
      </w:r>
    </w:p>
    <w:p>
      <w:pPr>
        <w:pStyle w:val="22"/>
        <w:bidi w:val="0"/>
        <w:rPr>
          <w:rFonts w:hint="eastAsia" w:ascii="仿宋" w:hAnsi="仿宋" w:eastAsia="仿宋" w:cs="仿宋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可查看小区基本信息：名称、联系人、电话、地址、客服二维码。</w:t>
      </w:r>
    </w:p>
    <w:p>
      <w:pPr>
        <w:pStyle w:val="2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其他信息：分成类型、审核时间、修改时间。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运营人员：管理人员的角色、分成比例。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469005" cy="4283075"/>
            <wp:effectExtent l="0" t="0" r="17145" b="317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1.3.2编辑↓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编辑小区基本信息:名称、联系人、电话、地址、客服二维码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554730" cy="2869565"/>
            <wp:effectExtent l="0" t="0" r="7620" b="698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1.3.3添加管理员↓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color w:val="FF0000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输入用户编号、联系人、电话、分成比例</w:t>
      </w: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（平台默认最大比例0.98）若需要调整0.995参照：</w:t>
      </w:r>
      <w:r>
        <w:rPr>
          <w:rFonts w:hint="eastAsia" w:ascii="仿宋" w:hAnsi="仿宋" w:eastAsia="仿宋" w:cs="仿宋"/>
          <w:b w:val="0"/>
          <w:bCs w:val="0"/>
          <w:color w:val="FF0000"/>
          <w:u w:val="single"/>
          <w:lang w:val="en-US" w:eastAsia="zh-CN"/>
        </w:rPr>
        <w:t>1.3.5.4调整平台比例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color w:val="00000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lang w:val="en-US" w:eastAsia="zh-CN"/>
        </w:rPr>
        <w:t>设备管理：设备的权限管理（删除设备、修改费率）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color w:val="00000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lang w:val="en-US" w:eastAsia="zh-CN"/>
        </w:rPr>
        <w:t>注册用户：注册虚拟用户的权限（手机端）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lang w:val="en-US" w:eastAsia="zh-CN"/>
        </w:rPr>
        <w:t>统计设置：项目数据报表权限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170555" cy="2481580"/>
            <wp:effectExtent l="0" t="0" r="14605" b="254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1.3.4充电区↓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小区内可以添加多个充电区，充电区的命名方式：小区名字+停车场。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如：</w:t>
      </w: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幸福小区地下停车场A区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024755" cy="1856105"/>
            <wp:effectExtent l="0" t="0" r="4445" b="317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添加：充电区名称、支付方式、费率、</w:t>
      </w:r>
      <w:r>
        <w:rPr>
          <w:rFonts w:hint="eastAsia" w:ascii="仿宋" w:hAnsi="仿宋" w:eastAsia="仿宋" w:cs="仿宋"/>
          <w:color w:val="FF0000"/>
          <w:lang w:val="en-US" w:eastAsia="zh-CN"/>
        </w:rPr>
        <w:t>经纬度（定位需要准确，会自动同步高德地图）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387725" cy="3359785"/>
            <wp:effectExtent l="0" t="0" r="10795" b="825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1.3.5更多菜单↓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费率设置、设置绑定优惠、更换运营商、调整平台比例、修改起充金额、设置维护人员、vip名单、预约充电。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055" cy="1487170"/>
            <wp:effectExtent l="0" t="0" r="10795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1.3.5.1费率设置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新增或者修改费率。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08270" cy="1677035"/>
            <wp:effectExtent l="0" t="0" r="3810" b="146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金额设置：在手机端充电页面展示自定义选择的金额。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费率设置：</w:t>
      </w:r>
      <w:r>
        <w:rPr>
          <w:rFonts w:hint="eastAsia" w:ascii="仿宋" w:hAnsi="仿宋" w:eastAsia="仿宋" w:cs="仿宋"/>
          <w:color w:val="FF0000"/>
          <w:lang w:val="en-US" w:eastAsia="zh-CN"/>
        </w:rPr>
        <w:t>一共支持24个档位电费和服务费。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000000"/>
          <w:lang w:val="en-US" w:eastAsia="zh-CN"/>
        </w:rPr>
        <w:t>占位设置：占位费设置仅支持交流柱，并且需要配合地锁才可以实现占位费收取。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-35560</wp:posOffset>
            </wp:positionV>
            <wp:extent cx="2047240" cy="4096385"/>
            <wp:effectExtent l="0" t="0" r="10160" b="18415"/>
            <wp:wrapSquare wrapText="bothSides"/>
            <wp:docPr id="88" name="图片 88" descr="cd17e6163f926b9c03582ed85cb7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d17e6163f926b9c03582ed85cb790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712720" cy="2705100"/>
            <wp:effectExtent l="0" t="0" r="0" b="762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                                             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747010" cy="1483360"/>
            <wp:effectExtent l="0" t="0" r="11430" b="1016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1.3.5.2设置绑定优惠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一档金额：是指用户微信充值的金额。一档优惠：是指用户充值赠送的金额。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例如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 xml:space="preserve">：我需要充三十送二元。一档金额：30；一档优惠：2 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注意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：设置完成后需要选择优惠结束时间。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绑定赠送金额：是指用户扫码关注并且绑定了小区，自动赠送余额。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974340" cy="1965960"/>
            <wp:effectExtent l="0" t="0" r="12700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1.3.5.3更换运营商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输入新的用户编号替换原来的运营商角色，若原来运营商有分成比例，替换后也会跟着变动。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81730" cy="1380490"/>
            <wp:effectExtent l="0" t="0" r="6350" b="635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1.3.5.4调整平台比例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平台默认分成比例为0.98，其中0.02是当前公众号收取运营商的服务费。平台比例最低可以设置到0.005</w:t>
      </w:r>
      <w:r>
        <w:rPr>
          <w:rFonts w:hint="eastAsia" w:ascii="仿宋" w:hAnsi="仿宋" w:eastAsia="仿宋" w:cs="仿宋"/>
          <w:color w:val="FF0000"/>
          <w:lang w:val="en-US" w:eastAsia="zh-CN"/>
        </w:rPr>
        <w:t>（0.005属于入账手续费。相当于运营商最大分成比例为0.995）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99510" cy="1337310"/>
            <wp:effectExtent l="0" t="0" r="3810" b="381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1.3.5.5修改起充金额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平台默认起充金额是20元。是指在余额支付模式中账户的余额需要达到20元才可以充电，若是临时模式则不受限制。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21405" cy="1337310"/>
            <wp:effectExtent l="0" t="0" r="5715" b="381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1.3.5.6设置维护费人员</w:t>
      </w:r>
    </w:p>
    <w:p>
      <w:pPr>
        <w:pStyle w:val="22"/>
        <w:jc w:val="left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可理解为给他人的固定佣金或设备维护费用，收款人可以设置为任一个当前公众号的微信用户，最低保障额度为每月佣金额度，收益优先到设置的维护费人员账户中，达到最低保障额度后，后续收益按照分成比例分给运营人员。如当月未达到最低保障额度，则累计到下月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1383665"/>
            <wp:effectExtent l="0" t="0" r="0" b="3175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1.3.5.7 VIP名单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输入用户编号或者电卡可以添加为当前小区的vip用户。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注意：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</w:rPr>
        <w:t>vip名单中且在有效期内的用户在当前小区免费充电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eastAsia="zh-CN"/>
        </w:rPr>
        <w:t>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1936750"/>
            <wp:effectExtent l="0" t="0" r="4445" b="1397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4"/>
        <w:rPr>
          <w:rFonts w:hint="default" w:ascii="仿宋" w:hAnsi="仿宋" w:eastAsia="仿宋" w:cs="仿宋"/>
          <w:b w:val="0"/>
          <w:bCs w:val="0"/>
          <w:lang w:val="en-US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1.3.5.8预约充电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drawing>
          <wp:inline distT="0" distB="0" distL="114300" distR="114300">
            <wp:extent cx="2600960" cy="1402080"/>
            <wp:effectExtent l="0" t="0" r="8890" b="762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最大预约次数  ：用户一天内可以预约的最大次数（最大一百次，默认3次）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可预约最大时长：选择预约最长时间（最长10小时，默认十小时）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如设置10，用户选择预约时当前时间为12点，用户可以预约到22点开始充电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lang w:val="en-US" w:eastAsia="zh-CN"/>
        </w:rPr>
        <w:t>条件限制：</w:t>
      </w:r>
    </w:p>
    <w:p>
      <w:pPr>
        <w:numPr>
          <w:ilvl w:val="0"/>
          <w:numId w:val="0"/>
        </w:numPr>
        <w:ind w:leftChars="0"/>
        <w:outlineLvl w:val="1"/>
        <w:rPr>
          <w:rFonts w:hint="eastAsia" w:ascii="仿宋" w:hAnsi="仿宋" w:eastAsia="仿宋" w:cs="仿宋"/>
          <w:b w:val="0"/>
          <w:bCs w:val="0"/>
          <w:lang w:val="en-US" w:eastAsia="zh-CN"/>
        </w:rPr>
      </w:pPr>
      <w:bookmarkStart w:id="14" w:name="_Toc30610"/>
      <w:r>
        <w:rPr>
          <w:rFonts w:hint="eastAsia" w:ascii="仿宋" w:hAnsi="仿宋" w:eastAsia="仿宋" w:cs="仿宋"/>
          <w:b w:val="0"/>
          <w:bCs w:val="0"/>
          <w:lang w:val="en-US" w:eastAsia="zh-CN"/>
        </w:rPr>
        <w:t>只支持交流桩的预约充电，直流翻牌率高，不利于场地运营。</w:t>
      </w:r>
      <w:bookmarkEnd w:id="14"/>
    </w:p>
    <w:p>
      <w:pPr>
        <w:numPr>
          <w:ilvl w:val="0"/>
          <w:numId w:val="0"/>
        </w:numPr>
        <w:ind w:leftChars="0"/>
        <w:outlineLvl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只支持扫码余额模式及VIP模式支付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br w:type="textWrapping"/>
      </w:r>
    </w:p>
    <w:p>
      <w:pPr>
        <w:pStyle w:val="21"/>
        <w:numPr>
          <w:ilvl w:val="0"/>
          <w:numId w:val="3"/>
        </w:numPr>
        <w:bidi w:val="0"/>
        <w:outlineLvl w:val="1"/>
        <w:rPr>
          <w:rFonts w:hint="eastAsia" w:ascii="仿宋" w:hAnsi="仿宋" w:eastAsia="仿宋" w:cs="仿宋"/>
          <w:lang w:val="en-US" w:eastAsia="zh-CN"/>
        </w:rPr>
      </w:pPr>
      <w:bookmarkStart w:id="15" w:name="_Toc18814"/>
      <w:bookmarkStart w:id="16" w:name="_Toc15617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小区管理-待审核小区</w:t>
      </w:r>
      <w:bookmarkEnd w:id="15"/>
      <w:bookmarkEnd w:id="1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在运营商角色中创建完小区，需要在此“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待审核小区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”中进行审核。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1895475"/>
            <wp:effectExtent l="0" t="0" r="635" b="9525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充值分成小区：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运营商可以按照分成比例获得用户充值的金额。并且设置了200元充值退款资金池，用来给消费者申请退款使用。</w:t>
      </w:r>
      <w:r>
        <w:rPr>
          <w:rFonts w:hint="eastAsia" w:ascii="仿宋" w:hAnsi="仿宋" w:eastAsia="仿宋" w:cs="仿宋"/>
          <w:color w:val="FF0000"/>
          <w:lang w:val="en-US" w:eastAsia="zh-CN"/>
        </w:rPr>
        <w:t>注意：优先满足资金池，才可以进行收益分成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消费分成小区：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运营商可以按照分成比例获取用户消费的金额。并且设置了20元消费退款资金池，用来给消费者对有异议的订单进行退款使用。</w:t>
      </w:r>
      <w:r>
        <w:rPr>
          <w:rFonts w:hint="eastAsia" w:ascii="仿宋" w:hAnsi="仿宋" w:eastAsia="仿宋" w:cs="仿宋"/>
          <w:color w:val="FF0000"/>
          <w:lang w:val="en-US" w:eastAsia="zh-CN"/>
        </w:rPr>
        <w:t>注意：优先满足资金池，才可以进行收益分成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001010" cy="1795145"/>
            <wp:effectExtent l="0" t="0" r="1270" b="3175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bidi w:val="0"/>
        <w:outlineLvl w:val="1"/>
        <w:rPr>
          <w:rFonts w:hint="eastAsia" w:ascii="仿宋" w:hAnsi="仿宋" w:eastAsia="仿宋" w:cs="仿宋"/>
          <w:lang w:val="en-US" w:eastAsia="zh-CN"/>
        </w:rPr>
      </w:pPr>
      <w:bookmarkStart w:id="17" w:name="_Toc2317"/>
      <w:bookmarkStart w:id="18" w:name="_Toc22990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小区管理-小区资金池</w:t>
      </w:r>
      <w:bookmarkEnd w:id="17"/>
      <w:bookmarkEnd w:id="18"/>
    </w:p>
    <w:p>
      <w:pPr>
        <w:pStyle w:val="22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充值分成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小区：</w:t>
      </w:r>
      <w:r>
        <w:rPr>
          <w:rFonts w:hint="eastAsia" w:ascii="仿宋" w:hAnsi="仿宋" w:eastAsia="仿宋" w:cs="仿宋"/>
          <w:b w:val="0"/>
          <w:bCs/>
        </w:rPr>
        <w:t>资金池额度默认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200</w:t>
      </w:r>
      <w:r>
        <w:rPr>
          <w:rFonts w:hint="eastAsia" w:ascii="仿宋" w:hAnsi="仿宋" w:eastAsia="仿宋" w:cs="仿宋"/>
          <w:b w:val="0"/>
          <w:bCs/>
        </w:rPr>
        <w:t>元，可修改资金池金额（不能小于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200</w:t>
      </w:r>
      <w:r>
        <w:rPr>
          <w:rFonts w:hint="eastAsia" w:ascii="仿宋" w:hAnsi="仿宋" w:eastAsia="仿宋" w:cs="仿宋"/>
          <w:b w:val="0"/>
          <w:bCs/>
        </w:rPr>
        <w:t>元），设置资金池金额为了用户退款和跨区支出。</w:t>
      </w:r>
    </w:p>
    <w:p>
      <w:pPr>
        <w:pStyle w:val="22"/>
        <w:rPr>
          <w:rFonts w:hint="eastAsia" w:ascii="仿宋" w:hAnsi="仿宋" w:eastAsia="仿宋" w:cs="仿宋"/>
          <w:b w:val="0"/>
          <w:bCs/>
          <w:lang w:val="en-US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消费</w:t>
      </w:r>
      <w:r>
        <w:rPr>
          <w:rFonts w:hint="eastAsia" w:ascii="仿宋" w:hAnsi="仿宋" w:eastAsia="仿宋" w:cs="仿宋"/>
          <w:b w:val="0"/>
          <w:bCs/>
        </w:rPr>
        <w:t>分成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小区：只有金额，没有额度。金额指的是用户充值后还未使用的基本账户余额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429000"/>
            <wp:effectExtent l="0" t="0" r="635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3"/>
        </w:numPr>
        <w:bidi w:val="0"/>
        <w:outlineLvl w:val="1"/>
        <w:rPr>
          <w:rFonts w:hint="eastAsia" w:ascii="仿宋" w:hAnsi="仿宋" w:eastAsia="仿宋" w:cs="仿宋"/>
          <w:lang w:val="en-US" w:eastAsia="zh-CN"/>
        </w:rPr>
      </w:pPr>
      <w:bookmarkStart w:id="19" w:name="_Toc26716"/>
      <w:bookmarkStart w:id="20" w:name="_Toc29320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小区管理-小区资金池</w:t>
      </w:r>
      <w:bookmarkEnd w:id="19"/>
      <w:bookmarkEnd w:id="20"/>
    </w:p>
    <w:p>
      <w:pPr>
        <w:pStyle w:val="22"/>
        <w:rPr>
          <w:rFonts w:hint="eastAsia" w:ascii="仿宋" w:hAnsi="仿宋" w:eastAsia="仿宋" w:cs="仿宋"/>
          <w:b w:val="0"/>
          <w:bCs/>
        </w:rPr>
      </w:pPr>
      <w:r>
        <w:rPr>
          <w:rFonts w:hint="eastAsia" w:ascii="仿宋" w:hAnsi="仿宋" w:eastAsia="仿宋" w:cs="仿宋"/>
          <w:b w:val="0"/>
          <w:bCs/>
        </w:rPr>
        <w:t>小区（消费分成）资金池，设置资金池金额为了临时/跨区充电用户退款。</w:t>
      </w:r>
    </w:p>
    <w:p>
      <w:pPr>
        <w:pStyle w:val="2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</w:rPr>
        <w:t>资金池不满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额度</w:t>
      </w:r>
      <w:r>
        <w:rPr>
          <w:rFonts w:hint="eastAsia" w:ascii="仿宋" w:hAnsi="仿宋" w:eastAsia="仿宋" w:cs="仿宋"/>
          <w:b w:val="0"/>
          <w:bCs/>
        </w:rPr>
        <w:t>，临时充值/跨区消费/消费分成优先充到资金池，满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额度后</w:t>
      </w:r>
      <w:r>
        <w:rPr>
          <w:rFonts w:hint="eastAsia" w:ascii="仿宋" w:hAnsi="仿宋" w:eastAsia="仿宋" w:cs="仿宋"/>
          <w:b w:val="0"/>
          <w:bCs/>
        </w:rPr>
        <w:t>，金额正常参与分成。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429000"/>
            <wp:effectExtent l="0" t="0" r="635" b="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b/>
          <w:bCs w:val="0"/>
          <w:lang w:val="en-US" w:eastAsia="zh-CN"/>
        </w:rPr>
      </w:pPr>
      <w:bookmarkStart w:id="21" w:name="_Toc30636"/>
      <w:r>
        <w:rPr>
          <w:rFonts w:hint="eastAsia" w:ascii="仿宋" w:hAnsi="仿宋" w:eastAsia="仿宋" w:cs="仿宋"/>
          <w:b/>
          <w:bCs w:val="0"/>
          <w:lang w:val="en-US" w:eastAsia="zh-CN"/>
        </w:rPr>
        <w:t>系统首页</w:t>
      </w:r>
      <w:bookmarkEnd w:id="5"/>
      <w:bookmarkEnd w:id="21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为管理员提供：电量、电费、服务费、经营情况、订单规模、设备实时状态等动态展示。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3429000"/>
            <wp:effectExtent l="0" t="0" r="635" b="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22" w:name="_Toc18027"/>
      <w:bookmarkStart w:id="23" w:name="_Toc25658"/>
      <w:r>
        <w:rPr>
          <w:rFonts w:hint="eastAsia" w:ascii="仿宋" w:hAnsi="仿宋" w:eastAsia="仿宋" w:cs="仿宋"/>
          <w:lang w:val="en-US" w:eastAsia="zh-CN"/>
        </w:rPr>
        <w:t>设备管理</w:t>
      </w:r>
      <w:bookmarkEnd w:id="22"/>
      <w:bookmarkEnd w:id="23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4"/>
        </w:numPr>
        <w:bidi w:val="0"/>
        <w:outlineLvl w:val="1"/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</w:pPr>
      <w:bookmarkStart w:id="24" w:name="_Toc30336"/>
      <w:bookmarkStart w:id="25" w:name="_Toc11472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设备管理-电桩管理</w:t>
      </w:r>
      <w:bookmarkEnd w:id="24"/>
      <w:bookmarkEnd w:id="25"/>
    </w:p>
    <w:p>
      <w:pPr>
        <w:pStyle w:val="22"/>
        <w:rPr>
          <w:rFonts w:hint="eastAsia" w:ascii="仿宋" w:hAnsi="仿宋" w:eastAsia="仿宋" w:cs="仿宋"/>
          <w:b w:val="0"/>
          <w:bCs/>
          <w:lang w:eastAsia="zh-CN"/>
        </w:rPr>
      </w:pPr>
      <w:r>
        <w:rPr>
          <w:rFonts w:hint="eastAsia" w:ascii="仿宋" w:hAnsi="仿宋" w:eastAsia="仿宋" w:cs="仿宋"/>
          <w:b w:val="0"/>
          <w:bCs/>
        </w:rPr>
        <w:t>显示设备号、sim卡号、联网状态、最新联网时间、小区、充电区、主机编号、设备类型、固件版本、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虚拟ID、</w:t>
      </w:r>
      <w:r>
        <w:rPr>
          <w:rFonts w:hint="eastAsia" w:ascii="仿宋" w:hAnsi="仿宋" w:eastAsia="仿宋" w:cs="仿宋"/>
          <w:b w:val="0"/>
          <w:bCs/>
        </w:rPr>
        <w:t>频率、电源板版本</w:t>
      </w:r>
      <w:r>
        <w:rPr>
          <w:rFonts w:hint="eastAsia" w:ascii="仿宋" w:hAnsi="仿宋" w:eastAsia="仿宋" w:cs="仿宋"/>
          <w:b w:val="0"/>
          <w:bCs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</w:rPr>
        <w:t>端口状态</w:t>
      </w:r>
      <w:r>
        <w:rPr>
          <w:rFonts w:hint="eastAsia" w:ascii="仿宋" w:hAnsi="仿宋" w:eastAsia="仿宋" w:cs="仿宋"/>
          <w:b w:val="0"/>
          <w:bCs/>
          <w:lang w:eastAsia="zh-CN"/>
        </w:rPr>
        <w:t>、类型、备注、创建时间。</w:t>
      </w:r>
    </w:p>
    <w:p>
      <w:pPr>
        <w:pStyle w:val="2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20315"/>
            <wp:effectExtent l="0" t="0" r="6350" b="9525"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2"/>
        <w:numPr>
          <w:ilvl w:val="0"/>
          <w:numId w:val="0"/>
        </w:numPr>
        <w:ind w:leftChars="0"/>
        <w:outlineLvl w:val="2"/>
        <w:rPr>
          <w:rFonts w:hint="eastAsia" w:ascii="仿宋" w:hAnsi="仿宋" w:eastAsia="仿宋" w:cs="仿宋"/>
          <w:lang w:val="en-US" w:eastAsia="zh-CN"/>
        </w:rPr>
      </w:pPr>
      <w:bookmarkStart w:id="26" w:name="_Toc3304"/>
      <w:bookmarkStart w:id="27" w:name="_Toc25024"/>
      <w:r>
        <w:rPr>
          <w:rFonts w:hint="eastAsia" w:ascii="仿宋" w:hAnsi="仿宋" w:eastAsia="仿宋" w:cs="仿宋"/>
          <w:lang w:val="en-US" w:eastAsia="zh-CN"/>
        </w:rPr>
        <w:t>1.1查看设备端口二维码</w:t>
      </w:r>
      <w:bookmarkEnd w:id="26"/>
      <w:bookmarkEnd w:id="27"/>
    </w:p>
    <w:p>
      <w:pPr>
        <w:pStyle w:val="22"/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325" cy="792480"/>
            <wp:effectExtent l="0" t="0" r="5715" b="0"/>
            <wp:docPr id="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2"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点击【01】/【02】可以查看或者下载端口二维码。</w:t>
      </w:r>
    </w:p>
    <w:p>
      <w:pPr>
        <w:pStyle w:val="21"/>
        <w:numPr>
          <w:ilvl w:val="0"/>
          <w:numId w:val="0"/>
        </w:numPr>
        <w:bidi w:val="0"/>
        <w:ind w:left="4560" w:hanging="4578" w:hangingChars="190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99380" cy="3119120"/>
            <wp:effectExtent l="0" t="0" r="12700" b="508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jc w:val="left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ind w:left="4560" w:hanging="4006" w:hangingChars="1900"/>
        <w:jc w:val="left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28" w:name="_Toc1383"/>
      <w:bookmarkStart w:id="29" w:name="_Toc10892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1.2查看主机</w:t>
      </w:r>
      <w:bookmarkEnd w:id="28"/>
      <w:bookmarkEnd w:id="29"/>
    </w:p>
    <w:p>
      <w:pPr>
        <w:pStyle w:val="21"/>
        <w:numPr>
          <w:ilvl w:val="0"/>
          <w:numId w:val="0"/>
        </w:numPr>
        <w:bidi w:val="0"/>
        <w:ind w:left="4560" w:hanging="4578" w:hangingChars="1900"/>
        <w:jc w:val="left"/>
        <w:outlineLvl w:val="9"/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1212850"/>
            <wp:effectExtent l="0" t="0" r="0" b="6350"/>
            <wp:docPr id="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ind w:left="4560" w:hanging="4006" w:hangingChars="1900"/>
        <w:jc w:val="left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30" w:name="_Toc6580"/>
      <w:bookmarkStart w:id="31" w:name="_Toc7745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1.3极限参数</w:t>
      </w:r>
      <w:bookmarkEnd w:id="30"/>
      <w:bookmarkEnd w:id="31"/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设置充电时长及充电功率。可以获取默认参数：</w:t>
      </w:r>
      <w:r>
        <w:rPr>
          <w:rFonts w:hint="eastAsia" w:ascii="仿宋" w:hAnsi="仿宋" w:eastAsia="仿宋" w:cs="仿宋"/>
          <w:b/>
          <w:bCs/>
          <w:sz w:val="21"/>
          <w:szCs w:val="21"/>
          <w:u w:val="single"/>
          <w:lang w:val="en-US" w:eastAsia="zh-CN"/>
        </w:rPr>
        <w:t>1.4.3获取极限参数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721610" cy="1958975"/>
            <wp:effectExtent l="0" t="0" r="6350" b="6985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ind w:left="4560" w:hanging="4006" w:hangingChars="1900"/>
        <w:jc w:val="left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32" w:name="_Toc4257"/>
      <w:bookmarkStart w:id="33" w:name="_Toc2564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1.3端口绑定</w:t>
      </w:r>
      <w:bookmarkEnd w:id="32"/>
      <w:bookmarkEnd w:id="33"/>
    </w:p>
    <w:p>
      <w:pPr>
        <w:pStyle w:val="21"/>
        <w:numPr>
          <w:ilvl w:val="0"/>
          <w:numId w:val="0"/>
        </w:numPr>
        <w:bidi w:val="0"/>
        <w:ind w:left="4560" w:hanging="3990" w:hangingChars="1900"/>
        <w:jc w:val="left"/>
        <w:outlineLvl w:val="9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</w:rPr>
        <w:t>绑定</w:t>
      </w:r>
      <w:r>
        <w:rPr>
          <w:rFonts w:hint="eastAsia" w:ascii="仿宋" w:hAnsi="仿宋" w:eastAsia="仿宋" w:cs="仿宋"/>
          <w:b w:val="0"/>
          <w:bCs/>
          <w:color w:val="FF0000"/>
          <w:sz w:val="21"/>
          <w:szCs w:val="21"/>
        </w:rPr>
        <w:t>本小区</w:t>
      </w:r>
      <w:r>
        <w:rPr>
          <w:rFonts w:hint="eastAsia" w:ascii="仿宋" w:hAnsi="仿宋" w:eastAsia="仿宋" w:cs="仿宋"/>
          <w:b w:val="0"/>
          <w:bCs/>
          <w:sz w:val="21"/>
          <w:szCs w:val="21"/>
        </w:rPr>
        <w:t>用户编号，该端口只能此用户使用。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1507490"/>
            <wp:effectExtent l="0" t="0" r="8255" b="1270"/>
            <wp:docPr id="2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ind w:left="4560" w:hanging="4006" w:hangingChars="1900"/>
        <w:jc w:val="left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34" w:name="_Toc18640"/>
      <w:bookmarkStart w:id="35" w:name="_Toc7816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1.4更多菜单</w:t>
      </w:r>
      <w:bookmarkEnd w:id="34"/>
      <w:bookmarkEnd w:id="35"/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982345"/>
            <wp:effectExtent l="0" t="0" r="8255" b="8255"/>
            <wp:docPr id="2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1.4.1禁用端口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</w:rPr>
        <w:t>禁用设备任一端口</w:t>
      </w:r>
      <w:r>
        <w:rPr>
          <w:rFonts w:hint="eastAsia" w:ascii="仿宋" w:hAnsi="仿宋" w:eastAsia="仿宋" w:cs="仿宋"/>
          <w:b w:val="0"/>
          <w:bCs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lang w:val="en-US" w:eastAsia="zh-CN"/>
        </w:rPr>
        <w:t>使其不能使用。</w:t>
      </w:r>
    </w:p>
    <w:p>
      <w:pPr>
        <w:pStyle w:val="21"/>
        <w:numPr>
          <w:ilvl w:val="0"/>
          <w:numId w:val="0"/>
        </w:numPr>
        <w:bidi w:val="0"/>
        <w:ind w:left="4560" w:hanging="4578" w:hangingChars="190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560570" cy="1744980"/>
            <wp:effectExtent l="0" t="0" r="11430" b="7620"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ind w:left="4560" w:hanging="4578" w:hangingChars="190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1.4.2费率查询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查询设备当前的收费标准以及历史查询的记录。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58435" cy="839470"/>
            <wp:effectExtent l="0" t="0" r="14605" b="13970"/>
            <wp:docPr id="2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1.4.3获取极限参数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点击获取后，可以在“极限参数”选项中查看，并且修改。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469765" cy="3154045"/>
            <wp:effectExtent l="0" t="0" r="10795" b="635"/>
            <wp:docPr id="2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3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1.4.4删除设备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慎用，一旦删除，需要重新添加，会影响使用中的订单。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5420" cy="877570"/>
            <wp:effectExtent l="0" t="0" r="7620" b="6350"/>
            <wp:docPr id="30" name="图片 37" descr="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7" descr="111111111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36" w:name="_Toc24594"/>
      <w:bookmarkStart w:id="37" w:name="_Toc5185"/>
      <w:r>
        <w:rPr>
          <w:rFonts w:hint="eastAsia" w:ascii="仿宋" w:hAnsi="仿宋" w:eastAsia="仿宋" w:cs="仿宋"/>
          <w:lang w:val="en-US" w:eastAsia="zh-CN"/>
        </w:rPr>
        <w:t>订单管理</w:t>
      </w:r>
      <w:bookmarkEnd w:id="36"/>
      <w:bookmarkEnd w:id="37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5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38" w:name="_Toc22225"/>
      <w:bookmarkStart w:id="39" w:name="_Toc10554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正常订单</w:t>
      </w:r>
      <w:bookmarkEnd w:id="38"/>
      <w:bookmarkEnd w:id="39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用户的</w:t>
      </w:r>
      <w:r>
        <w:rPr>
          <w:rFonts w:hint="eastAsia" w:ascii="仿宋" w:hAnsi="仿宋" w:eastAsia="仿宋" w:cs="仿宋"/>
        </w:rPr>
        <w:t>消费明细，显示的列内容包含：订单编号、</w:t>
      </w:r>
      <w:r>
        <w:rPr>
          <w:rFonts w:hint="eastAsia" w:ascii="仿宋" w:hAnsi="仿宋" w:eastAsia="仿宋" w:cs="仿宋"/>
          <w:lang w:val="en-US" w:eastAsia="zh-CN"/>
        </w:rPr>
        <w:t>卡号、</w:t>
      </w:r>
      <w:r>
        <w:rPr>
          <w:rFonts w:hint="eastAsia" w:ascii="仿宋" w:hAnsi="仿宋" w:eastAsia="仿宋" w:cs="仿宋"/>
        </w:rPr>
        <w:t>用户编号、</w:t>
      </w:r>
      <w:r>
        <w:rPr>
          <w:rFonts w:hint="eastAsia" w:ascii="仿宋" w:hAnsi="仿宋" w:eastAsia="仿宋" w:cs="仿宋"/>
          <w:lang w:val="en-US" w:eastAsia="zh-CN"/>
        </w:rPr>
        <w:t>用电量、启动方式、设备号、端口号、是否结算、支付类型、启动时间、小区、断电原因、充电时长、</w:t>
      </w:r>
      <w:r>
        <w:rPr>
          <w:rFonts w:hint="eastAsia" w:ascii="仿宋" w:hAnsi="仿宋" w:eastAsia="仿宋" w:cs="仿宋"/>
        </w:rPr>
        <w:t>消费金额、</w:t>
      </w:r>
      <w:r>
        <w:rPr>
          <w:rFonts w:hint="eastAsia" w:ascii="仿宋" w:hAnsi="仿宋" w:eastAsia="仿宋" w:cs="仿宋"/>
          <w:lang w:val="en-US" w:eastAsia="zh-CN"/>
        </w:rPr>
        <w:t>手机号（小区客服人员）。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4332605" cy="2818765"/>
            <wp:effectExtent l="0" t="0" r="10795" b="635"/>
            <wp:docPr id="2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40" w:name="_Toc6157"/>
      <w:r>
        <w:rPr>
          <w:rFonts w:hint="eastAsia" w:ascii="仿宋" w:hAnsi="仿宋" w:eastAsia="仿宋" w:cs="仿宋"/>
          <w:b/>
          <w:bCs/>
          <w:lang w:val="en-US" w:eastAsia="zh-CN"/>
        </w:rPr>
        <w:t>1.1订单详情</w:t>
      </w:r>
      <w:bookmarkEnd w:id="40"/>
    </w:p>
    <w:p>
      <w:pPr>
        <w:numPr>
          <w:ilvl w:val="0"/>
          <w:numId w:val="0"/>
        </w:numPr>
        <w:ind w:leftChars="0"/>
        <w:jc w:val="left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1.1.1基础信息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436110" cy="1685290"/>
            <wp:effectExtent l="0" t="0" r="2540" b="10160"/>
            <wp:docPr id="3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1.1.2费用明细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469765" cy="1731645"/>
            <wp:effectExtent l="0" t="0" r="10795" b="5715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1.1.2用户信息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497705" cy="1746250"/>
            <wp:effectExtent l="0" t="0" r="17145" b="6350"/>
            <wp:docPr id="6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3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1.1.3充电功率曲线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129405" cy="2009775"/>
            <wp:effectExtent l="0" t="0" r="4445" b="952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41" w:name="_Toc20941"/>
      <w:r>
        <w:rPr>
          <w:rFonts w:hint="eastAsia" w:ascii="仿宋" w:hAnsi="仿宋" w:eastAsia="仿宋" w:cs="仿宋"/>
          <w:b/>
          <w:bCs/>
          <w:lang w:val="en-US" w:eastAsia="zh-CN"/>
        </w:rPr>
        <w:t>1.2手动结算</w:t>
      </w:r>
      <w:bookmarkEnd w:id="41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强制结束正在充电的订单或者因网络原因导致的卡单。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643255"/>
            <wp:effectExtent l="0" t="0" r="3175" b="12065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42" w:name="_Toc9108"/>
      <w:r>
        <w:rPr>
          <w:rFonts w:hint="eastAsia" w:ascii="仿宋" w:hAnsi="仿宋" w:eastAsia="仿宋" w:cs="仿宋"/>
          <w:b/>
          <w:bCs/>
          <w:lang w:val="en-US" w:eastAsia="zh-CN"/>
        </w:rPr>
        <w:t>1.3消费订单导出</w:t>
      </w:r>
      <w:bookmarkEnd w:id="42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根据筛选条件导出消费订单（最长可保存3个月）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934845"/>
            <wp:effectExtent l="0" t="0" r="10160" b="8255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</w:pPr>
    </w:p>
    <w:p>
      <w:pPr>
        <w:numPr>
          <w:ilvl w:val="0"/>
          <w:numId w:val="0"/>
        </w:numPr>
        <w:ind w:leftChars="0"/>
        <w:jc w:val="left"/>
        <w:outlineLvl w:val="9"/>
      </w:pPr>
    </w:p>
    <w:p>
      <w:pPr>
        <w:numPr>
          <w:ilvl w:val="0"/>
          <w:numId w:val="5"/>
        </w:numPr>
        <w:ind w:left="0" w:leftChars="0" w:firstLine="0" w:firstLineChars="0"/>
        <w:jc w:val="left"/>
        <w:outlineLvl w:val="1"/>
      </w:pPr>
      <w:bookmarkStart w:id="43" w:name="_Toc15389"/>
      <w:r>
        <w:rPr>
          <w:rFonts w:hint="eastAsia" w:ascii="仿宋" w:hAnsi="仿宋" w:eastAsia="仿宋" w:cs="仿宋"/>
          <w:b/>
          <w:bCs/>
          <w:lang w:val="en-US" w:eastAsia="zh-CN"/>
        </w:rPr>
        <w:t>预约订单</w:t>
      </w:r>
      <w:bookmarkEnd w:id="43"/>
    </w:p>
    <w:p>
      <w:pPr>
        <w:numPr>
          <w:numId w:val="0"/>
        </w:numPr>
        <w:ind w:leftChars="0"/>
        <w:jc w:val="left"/>
        <w:outlineLvl w:val="9"/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可以查看预约订单及取消用户的预约订单</w:t>
      </w:r>
    </w:p>
    <w:p>
      <w:pPr>
        <w:numPr>
          <w:numId w:val="0"/>
        </w:numPr>
        <w:ind w:leftChars="0"/>
        <w:jc w:val="left"/>
        <w:outlineLvl w:val="9"/>
      </w:pPr>
      <w:r>
        <w:drawing>
          <wp:inline distT="0" distB="0" distL="114300" distR="114300">
            <wp:extent cx="5265420" cy="2508885"/>
            <wp:effectExtent l="0" t="0" r="11430" b="5715"/>
            <wp:docPr id="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outlineLvl w:val="9"/>
        <w:rPr>
          <w:rFonts w:hint="eastAsia"/>
          <w:lang w:val="en-US" w:eastAsia="zh-CN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44" w:name="_Toc2355"/>
      <w:bookmarkStart w:id="45" w:name="_Toc26647"/>
      <w:r>
        <w:rPr>
          <w:rFonts w:hint="eastAsia" w:ascii="仿宋" w:hAnsi="仿宋" w:eastAsia="仿宋" w:cs="仿宋"/>
          <w:lang w:val="en-US" w:eastAsia="zh-CN"/>
        </w:rPr>
        <w:t>经营状况</w:t>
      </w:r>
      <w:bookmarkEnd w:id="44"/>
      <w:bookmarkEnd w:id="45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46" w:name="_Toc28509"/>
      <w:bookmarkStart w:id="47" w:name="_Toc26072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1、报表中心</w:t>
      </w:r>
      <w:bookmarkEnd w:id="46"/>
      <w:bookmarkEnd w:id="47"/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48" w:name="_Toc16398"/>
      <w:bookmarkStart w:id="49" w:name="_Toc58"/>
      <w:r>
        <w:rPr>
          <w:rFonts w:hint="eastAsia" w:ascii="仿宋" w:hAnsi="仿宋" w:eastAsia="仿宋" w:cs="仿宋"/>
          <w:b/>
          <w:bCs/>
          <w:lang w:val="en-US" w:eastAsia="zh-CN"/>
        </w:rPr>
        <w:t>1.1小区报表</w:t>
      </w:r>
      <w:bookmarkEnd w:id="48"/>
      <w:bookmarkEnd w:id="49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根据小区为单位进行汇总数据：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用户数、总充值、账户总消费、临时总消费、总订单、基本账户消费、跨区收入、跨区支出、总耗电、总退款等。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小区收入计算公式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充值分成：【总充值 + 临时总消费 + 跨区收入 - 跨区支出 - 总退款 - 小区资金池 - 消费退款资金池】*分成比例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消费分成：【基本账户消费- 跨区支出 - 消费退款资金池】*分成比例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30495" cy="3400425"/>
            <wp:effectExtent l="0" t="0" r="12065" b="13335"/>
            <wp:docPr id="6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50" w:name="_Toc25443"/>
      <w:bookmarkStart w:id="51" w:name="_Toc27669"/>
      <w:r>
        <w:rPr>
          <w:rFonts w:hint="eastAsia" w:ascii="仿宋" w:hAnsi="仿宋" w:eastAsia="仿宋" w:cs="仿宋"/>
          <w:b/>
          <w:bCs/>
          <w:lang w:val="en-US" w:eastAsia="zh-CN"/>
        </w:rPr>
        <w:t>1.2电桩报表</w:t>
      </w:r>
      <w:bookmarkEnd w:id="50"/>
      <w:bookmarkEnd w:id="51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bookmarkStart w:id="52" w:name="_Toc10137"/>
      <w:r>
        <w:rPr>
          <w:rFonts w:hint="eastAsia" w:ascii="仿宋" w:hAnsi="仿宋" w:eastAsia="仿宋" w:cs="仿宋"/>
          <w:b w:val="0"/>
          <w:bCs w:val="0"/>
          <w:lang w:val="en-US" w:eastAsia="zh-CN"/>
        </w:rPr>
        <w:t>统计充电桩的使用率</w:t>
      </w:r>
      <w:bookmarkEnd w:id="52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计算规则：设备有效订单数除以该设备端口数再除以选择的天数。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44465" cy="2822575"/>
            <wp:effectExtent l="0" t="0" r="0" b="0"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57"/>
                    <a:srcRect b="1721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 w:ascii="仿宋" w:hAnsi="仿宋" w:eastAsia="仿宋" w:cs="仿宋"/>
          <w:b/>
          <w:bCs/>
          <w:lang w:val="en-US" w:eastAsia="zh-CN"/>
        </w:rPr>
      </w:pPr>
      <w:bookmarkStart w:id="53" w:name="_Toc17672"/>
      <w:bookmarkStart w:id="54" w:name="_Toc21935"/>
      <w:r>
        <w:rPr>
          <w:rFonts w:hint="eastAsia" w:ascii="仿宋" w:hAnsi="仿宋" w:eastAsia="仿宋" w:cs="仿宋"/>
          <w:b/>
          <w:bCs/>
          <w:lang w:val="en-US" w:eastAsia="zh-CN"/>
        </w:rPr>
        <w:t>1.3用户报表</w:t>
      </w:r>
      <w:bookmarkEnd w:id="53"/>
      <w:bookmarkEnd w:id="54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查看用户消费情况：使用次数、时长(H)、总耗电(度)、总充值、总消费。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82235" cy="3098800"/>
            <wp:effectExtent l="0" t="0" r="14605" b="10160"/>
            <wp:docPr id="5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55" w:name="_Toc2462"/>
      <w:bookmarkStart w:id="56" w:name="_Toc14032"/>
      <w:bookmarkStart w:id="57" w:name="_Toc4218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2、经营分析</w:t>
      </w:r>
      <w:bookmarkEnd w:id="55"/>
      <w:bookmarkEnd w:id="56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显示收益统计、用户增长、充值统计、消费统计。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3420110"/>
            <wp:effectExtent l="0" t="0" r="15240" b="8890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58" w:name="_Toc2382"/>
      <w:r>
        <w:rPr>
          <w:rFonts w:hint="eastAsia" w:ascii="仿宋" w:hAnsi="仿宋" w:eastAsia="仿宋" w:cs="仿宋"/>
          <w:lang w:val="en-US" w:eastAsia="zh-CN"/>
        </w:rPr>
        <w:t>发票管理</w:t>
      </w:r>
      <w:bookmarkEnd w:id="57"/>
      <w:bookmarkEnd w:id="58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6"/>
        </w:numPr>
        <w:bidi w:val="0"/>
        <w:spacing w:line="240" w:lineRule="auto"/>
        <w:outlineLvl w:val="1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bookmarkStart w:id="59" w:name="_Toc23825"/>
      <w:bookmarkStart w:id="60" w:name="_Toc294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支持自动开票与手动开票两种方式</w:t>
      </w:r>
      <w:bookmarkEnd w:id="59"/>
      <w:bookmarkEnd w:id="60"/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spacing w:line="240" w:lineRule="auto"/>
        <w:outlineLvl w:val="2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bookmarkStart w:id="61" w:name="_Toc23540"/>
      <w:bookmarkStart w:id="62" w:name="_Toc6360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1.1自动开票</w:t>
      </w:r>
      <w:bookmarkEnd w:id="61"/>
      <w:bookmarkEnd w:id="62"/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是指用户提交开票信息后，平台自动生成发票，发送至用户小程序和邮箱。若需要开通请联系技术人员。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注意：因为对接了票务系统，此功能需要额外收费。具体费用请咨询技术人员。</w:t>
      </w:r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spacing w:line="240" w:lineRule="auto"/>
        <w:outlineLvl w:val="2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bookmarkStart w:id="63" w:name="_Toc7430"/>
      <w:bookmarkStart w:id="64" w:name="_Toc11392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1.2手动开票</w:t>
      </w:r>
      <w:bookmarkEnd w:id="63"/>
      <w:bookmarkEnd w:id="64"/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首次开通此功能需要配置信息</w:t>
      </w:r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spacing w:line="240" w:lineRule="auto"/>
        <w:outlineLvl w:val="3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1.2.1开通所需资料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</w:p>
    <w:p>
      <w:pPr>
        <w:pStyle w:val="21"/>
        <w:numPr>
          <w:ilvl w:val="0"/>
          <w:numId w:val="0"/>
        </w:numPr>
        <w:bidi w:val="0"/>
        <w:spacing w:line="240" w:lineRule="auto"/>
        <w:outlineLvl w:val="9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SMTP用户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</w:rPr>
        <w:t>SMTP密码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邮箱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支持</w:t>
      </w:r>
      <w:r>
        <w:rPr>
          <w:rFonts w:hint="eastAsia" w:ascii="仿宋" w:hAnsi="仿宋" w:eastAsia="仿宋" w:cs="仿宋"/>
          <w:b w:val="0"/>
          <w:bCs/>
          <w:color w:val="000000"/>
          <w:sz w:val="24"/>
          <w:szCs w:val="24"/>
          <w:lang w:val="en-US" w:eastAsia="zh-CN"/>
        </w:rPr>
        <w:t>QQ邮箱、163邮箱、126邮箱、139邮箱、新浪邮箱、搜狐邮箱、雅虎邮箱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</w:rPr>
      </w:pPr>
      <w:r>
        <w:drawing>
          <wp:inline distT="0" distB="0" distL="114300" distR="114300">
            <wp:extent cx="4995545" cy="2766695"/>
            <wp:effectExtent l="0" t="0" r="14605" b="14605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spacing w:line="360" w:lineRule="auto"/>
        <w:outlineLvl w:val="3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1.2.2详情</w:t>
      </w:r>
    </w:p>
    <w:p>
      <w:pPr>
        <w:pStyle w:val="21"/>
        <w:numPr>
          <w:ilvl w:val="0"/>
          <w:numId w:val="0"/>
        </w:numPr>
        <w:bidi w:val="0"/>
        <w:spacing w:line="360" w:lineRule="auto"/>
        <w:outlineLvl w:val="9"/>
        <w:rPr>
          <w:rFonts w:hint="default" w:ascii="仿宋" w:hAnsi="仿宋" w:eastAsia="仿宋" w:cs="仿宋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用户提交开票信息后，可在发票管理中查看用户的发票信息与订单信息。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color w:val="C0000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C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39370</wp:posOffset>
            </wp:positionV>
            <wp:extent cx="2397125" cy="2321560"/>
            <wp:effectExtent l="0" t="0" r="3175" b="2540"/>
            <wp:wrapTight wrapText="bothSides">
              <wp:wrapPolygon>
                <wp:start x="0" y="0"/>
                <wp:lineTo x="0" y="21446"/>
                <wp:lineTo x="21457" y="21446"/>
                <wp:lineTo x="21457" y="0"/>
                <wp:lineTo x="0" y="0"/>
              </wp:wrapPolygon>
            </wp:wrapTight>
            <wp:docPr id="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C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44450</wp:posOffset>
            </wp:positionV>
            <wp:extent cx="2558415" cy="1833880"/>
            <wp:effectExtent l="0" t="0" r="13335" b="13970"/>
            <wp:wrapSquare wrapText="bothSides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C00000"/>
          <w:lang w:val="en-US" w:eastAsia="zh-CN"/>
        </w:rPr>
        <w:t>注：多笔充电订单可合并成一笔开票订单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spacing w:line="360" w:lineRule="auto"/>
        <w:outlineLvl w:val="3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1.2.3审核-通过</w:t>
      </w:r>
    </w:p>
    <w:p>
      <w:pPr>
        <w:pStyle w:val="21"/>
        <w:numPr>
          <w:ilvl w:val="0"/>
          <w:numId w:val="0"/>
        </w:numPr>
        <w:bidi w:val="0"/>
        <w:spacing w:line="360" w:lineRule="auto"/>
        <w:outlineLvl w:val="9"/>
        <w:rPr>
          <w:rFonts w:hint="default" w:ascii="仿宋" w:hAnsi="仿宋" w:eastAsia="仿宋" w:cs="仿宋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财务上传发票原件，只支持PDF格式的文件。且文件大小不超过1M</w:t>
      </w:r>
    </w:p>
    <w:p>
      <w:pPr>
        <w:pStyle w:val="21"/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5106670" cy="1742440"/>
            <wp:effectExtent l="0" t="0" r="17780" b="10160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</w:pPr>
    </w:p>
    <w:p>
      <w:pPr>
        <w:pStyle w:val="21"/>
        <w:numPr>
          <w:ilvl w:val="0"/>
          <w:numId w:val="0"/>
        </w:numPr>
        <w:bidi w:val="0"/>
        <w:outlineLvl w:val="9"/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通过后可在发票界面查看状态，并自动同步信息到用户小程序及邮箱。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055" cy="395605"/>
            <wp:effectExtent l="0" t="0" r="10795" b="4445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21"/>
        <w:numPr>
          <w:ilvl w:val="0"/>
          <w:numId w:val="0"/>
        </w:numPr>
        <w:bidi w:val="0"/>
        <w:outlineLvl w:val="3"/>
        <w:rPr>
          <w:rFonts w:hint="default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1.2.4审核-驳回</w:t>
      </w:r>
    </w:p>
    <w:p>
      <w:pPr>
        <w:pStyle w:val="21"/>
        <w:numPr>
          <w:ilvl w:val="0"/>
          <w:numId w:val="0"/>
        </w:numPr>
        <w:bidi w:val="0"/>
        <w:spacing w:line="360" w:lineRule="auto"/>
        <w:outlineLvl w:val="9"/>
        <w:rPr>
          <w:rFonts w:hint="default" w:ascii="仿宋" w:hAnsi="仿宋" w:eastAsia="仿宋" w:cs="仿宋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lang w:val="en-US" w:eastAsia="zh-CN"/>
        </w:rPr>
        <w:t>财务可根据发票信息的准确性选择通过或者驳回，若驳回后用户可重新编辑提交，此选项一般用于开票信息资料填写错误的情况。</w:t>
      </w:r>
    </w:p>
    <w:p>
      <w:pPr>
        <w:pStyle w:val="21"/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5269865" cy="2221865"/>
            <wp:effectExtent l="0" t="0" r="6985" b="6985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65" w:name="_Toc7568"/>
      <w:bookmarkStart w:id="66" w:name="_Toc6142"/>
      <w:r>
        <w:rPr>
          <w:rFonts w:hint="eastAsia" w:ascii="仿宋" w:hAnsi="仿宋" w:eastAsia="仿宋" w:cs="仿宋"/>
          <w:lang w:val="en-US" w:eastAsia="zh-CN"/>
        </w:rPr>
        <w:t>用户管理</w:t>
      </w:r>
      <w:bookmarkEnd w:id="65"/>
      <w:bookmarkEnd w:id="6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</w:rPr>
        <w:t>展示用户信息，显示的列内容包含：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</w:rPr>
        <w:t>用户编号、真实名字、注册用户、基本账户、赠送账户、类型、绑定小区、手机号、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关注时间、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</w:rPr>
        <w:t>操作</w:t>
      </w:r>
      <w:r>
        <w:rPr>
          <w:rFonts w:hint="eastAsia" w:ascii="仿宋" w:hAnsi="仿宋" w:eastAsia="仿宋" w:cs="仿宋"/>
          <w:b w:val="0"/>
          <w:bCs/>
          <w:sz w:val="21"/>
          <w:szCs w:val="21"/>
        </w:rPr>
        <w:t>（余额退款、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编辑赠送、解绑小区、编辑资料、账户清零</w:t>
      </w:r>
      <w:r>
        <w:rPr>
          <w:rFonts w:hint="eastAsia" w:ascii="仿宋" w:hAnsi="仿宋" w:eastAsia="仿宋" w:cs="仿宋"/>
          <w:b w:val="0"/>
          <w:bCs/>
          <w:sz w:val="21"/>
          <w:szCs w:val="21"/>
        </w:rPr>
        <w:t>）。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3150235"/>
            <wp:effectExtent l="0" t="0" r="5080" b="4445"/>
            <wp:docPr id="6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7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67" w:name="_Toc6623"/>
      <w:bookmarkStart w:id="68" w:name="_Toc32275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用户管理-用户管理</w:t>
      </w:r>
      <w:bookmarkEnd w:id="67"/>
      <w:bookmarkEnd w:id="68"/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69" w:name="_Toc3992"/>
      <w:bookmarkStart w:id="70" w:name="_Toc15963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1.1余额退款</w:t>
      </w:r>
      <w:bookmarkEnd w:id="69"/>
      <w:bookmarkEnd w:id="70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申请余额退款后，基本账户的余额会自动原路返回，若赠送账户有余额会自动清零。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2399665"/>
            <wp:effectExtent l="0" t="0" r="1270" b="8255"/>
            <wp:docPr id="6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71" w:name="_Toc303"/>
      <w:bookmarkStart w:id="72" w:name="_Toc8539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1.2编辑赠送</w:t>
      </w:r>
      <w:bookmarkEnd w:id="71"/>
      <w:bookmarkEnd w:id="72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赠送账户的金额与基本账户的金额权限一样。（赠送金额没有设置上下限）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046220" cy="1506855"/>
            <wp:effectExtent l="0" t="0" r="11430" b="17145"/>
            <wp:docPr id="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73" w:name="_Toc15383"/>
      <w:bookmarkStart w:id="74" w:name="_Toc23172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1.3解绑小区</w:t>
      </w:r>
      <w:bookmarkEnd w:id="73"/>
      <w:bookmarkEnd w:id="74"/>
    </w:p>
    <w:p>
      <w:pPr>
        <w:pStyle w:val="21"/>
        <w:numPr>
          <w:ilvl w:val="0"/>
          <w:numId w:val="0"/>
        </w:numPr>
        <w:bidi w:val="0"/>
        <w:outlineLvl w:val="3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主要作用是解决资金池不足的问题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当A小区的用户跑到B小区消费，平台会从A小区的资金池拉取电费支付给B小区。所以会产生跨区支出，原来的A小区的资金池不足了，就不能跨区消费。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解决1.用户采用临时充电。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解决2.绑定A小区的用户，充值后可以补充资金池。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解决3.线下（微信转账）退款，平台账户清零，解绑小区。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2294890"/>
            <wp:effectExtent l="0" t="0" r="0" b="6350"/>
            <wp:docPr id="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75" w:name="_Toc1160"/>
      <w:bookmarkStart w:id="76" w:name="_Toc24447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1.4编辑资料</w:t>
      </w:r>
      <w:bookmarkEnd w:id="75"/>
      <w:bookmarkEnd w:id="7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2"/>
          <w:szCs w:val="22"/>
          <w:lang w:val="en-US" w:eastAsia="zh-CN"/>
        </w:rPr>
        <w:t>修改绑定的手机号码和姓名。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color w:val="FF000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22"/>
          <w:szCs w:val="22"/>
          <w:lang w:val="en-US" w:eastAsia="zh-CN"/>
        </w:rPr>
        <w:t>若是管理员提现，真实姓名必填。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2367915"/>
            <wp:effectExtent l="0" t="0" r="0" b="9525"/>
            <wp:docPr id="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77" w:name="_Toc1828"/>
      <w:bookmarkStart w:id="78" w:name="_Toc31326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1.5账户清零</w:t>
      </w:r>
      <w:bookmarkEnd w:id="77"/>
      <w:bookmarkEnd w:id="78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会清除基本账户和赠送账户的金额，切不可恢复。慎重操作！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3515" cy="1229995"/>
            <wp:effectExtent l="0" t="0" r="0" b="0"/>
            <wp:docPr id="6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rcRect b="1478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7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79" w:name="_Toc21813"/>
      <w:bookmarkStart w:id="80" w:name="_Toc15037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用户管理-账户明细</w:t>
      </w:r>
      <w:bookmarkEnd w:id="79"/>
      <w:bookmarkEnd w:id="80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可查询用户每一笔金额的变动明细。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341880"/>
            <wp:effectExtent l="0" t="0" r="6350" b="5080"/>
            <wp:docPr id="5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7"/>
        </w:numPr>
        <w:bidi w:val="0"/>
        <w:outlineLvl w:val="1"/>
        <w:rPr>
          <w:rFonts w:hint="eastAsia" w:ascii="仿宋" w:hAnsi="仿宋" w:eastAsia="仿宋" w:cs="仿宋"/>
        </w:rPr>
      </w:pPr>
      <w:bookmarkStart w:id="81" w:name="_Toc27719"/>
      <w:bookmarkStart w:id="82" w:name="_Toc23384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用户管理-账户充值</w:t>
      </w:r>
      <w:bookmarkEnd w:id="81"/>
      <w:bookmarkEnd w:id="82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可查询用户每一笔基本账户充值的记录明细。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20950"/>
            <wp:effectExtent l="0" t="0" r="6350" b="8890"/>
            <wp:docPr id="5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2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83" w:name="_Toc23156"/>
      <w:bookmarkStart w:id="84" w:name="_Toc22098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3.1用户管理-临时充值</w:t>
      </w:r>
      <w:bookmarkEnd w:id="83"/>
      <w:bookmarkEnd w:id="84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可查询用户每一笔临时模式支付的记录明细。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953260"/>
            <wp:effectExtent l="0" t="0" r="0" b="0"/>
            <wp:docPr id="5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8"/>
                    <pic:cNvPicPr>
                      <a:picLocks noChangeAspect="1"/>
                    </pic:cNvPicPr>
                  </pic:nvPicPr>
                  <pic:blipFill>
                    <a:blip r:embed="rId74"/>
                    <a:srcRect b="225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7"/>
        </w:numPr>
        <w:bidi w:val="0"/>
        <w:outlineLvl w:val="1"/>
        <w:rPr>
          <w:rFonts w:hint="eastAsia" w:ascii="仿宋" w:hAnsi="仿宋" w:eastAsia="仿宋" w:cs="仿宋"/>
        </w:rPr>
      </w:pPr>
      <w:bookmarkStart w:id="85" w:name="_Toc4146"/>
      <w:bookmarkStart w:id="86" w:name="_Toc2360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用户管理-用户退款</w:t>
      </w:r>
      <w:bookmarkEnd w:id="85"/>
      <w:bookmarkEnd w:id="8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可查询用户每一笔退款的记录明细。</w:t>
      </w:r>
      <w:bookmarkStart w:id="111" w:name="_GoBack"/>
      <w:bookmarkEnd w:id="111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20950"/>
            <wp:effectExtent l="0" t="0" r="6350" b="889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7"/>
        </w:numPr>
        <w:bidi w:val="0"/>
        <w:outlineLvl w:val="1"/>
        <w:rPr>
          <w:rFonts w:hint="eastAsia" w:ascii="仿宋" w:hAnsi="仿宋" w:eastAsia="仿宋" w:cs="仿宋"/>
        </w:rPr>
      </w:pPr>
      <w:bookmarkStart w:id="87" w:name="_Toc24281"/>
      <w:bookmarkStart w:id="88" w:name="_Toc5748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用户管理-退款失败记录</w:t>
      </w:r>
      <w:bookmarkEnd w:id="87"/>
      <w:bookmarkEnd w:id="88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可查询用户每一笔退款的失败的有原因。若需要重新发起退款，可以联系友电技术人员。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3150235"/>
            <wp:effectExtent l="0" t="0" r="4445" b="4445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89" w:name="_Toc4397"/>
      <w:bookmarkStart w:id="90" w:name="_Toc2211"/>
      <w:r>
        <w:rPr>
          <w:rFonts w:hint="eastAsia" w:ascii="仿宋" w:hAnsi="仿宋" w:eastAsia="仿宋" w:cs="仿宋"/>
          <w:lang w:val="en-US" w:eastAsia="zh-CN"/>
        </w:rPr>
        <w:t>三方支付信息</w:t>
      </w:r>
      <w:bookmarkEnd w:id="89"/>
      <w:bookmarkEnd w:id="90"/>
    </w:p>
    <w:p>
      <w:pPr>
        <w:pStyle w:val="21"/>
        <w:numPr>
          <w:ilvl w:val="0"/>
          <w:numId w:val="8"/>
        </w:numPr>
        <w:bidi w:val="0"/>
        <w:outlineLvl w:val="1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bookmarkStart w:id="91" w:name="_Toc5513"/>
      <w:bookmarkStart w:id="92" w:name="_Toc350"/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企业商户信息</w:t>
      </w:r>
      <w:bookmarkEnd w:id="91"/>
      <w:bookmarkEnd w:id="92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可查看，账户收益总额。并且可提现至对公收款账户（公众号主体对公账户）。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21"/>
          <w:szCs w:val="21"/>
          <w:lang w:val="en-US" w:eastAsia="zh-CN"/>
        </w:rPr>
        <w:t>注意：平台，默认有2000的留底金额，用于消费者退款使用。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eastAsia="zh-CN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2921635"/>
            <wp:effectExtent l="0" t="0" r="14605" b="4445"/>
            <wp:docPr id="7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8"/>
        </w:numPr>
        <w:bidi w:val="0"/>
        <w:outlineLvl w:val="1"/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</w:pPr>
      <w:bookmarkStart w:id="93" w:name="_Toc5085"/>
      <w:bookmarkStart w:id="94" w:name="_Toc4740"/>
      <w:r>
        <w:rPr>
          <w:rFonts w:hint="eastAsia" w:ascii="仿宋" w:hAnsi="仿宋" w:eastAsia="仿宋" w:cs="仿宋"/>
          <w:b/>
          <w:bCs w:val="0"/>
          <w:sz w:val="21"/>
          <w:szCs w:val="21"/>
          <w:lang w:val="en-US" w:eastAsia="zh-CN"/>
        </w:rPr>
        <w:t>收益提现</w:t>
      </w:r>
      <w:bookmarkEnd w:id="93"/>
      <w:bookmarkEnd w:id="94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点击提现到卡输入提现金额（需要留2000元做为退款使用）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注意：若不需要与别人分账或者不需要对私提现的，可以在此界面进行提现操作。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 w:val="0"/>
          <w:bCs/>
          <w:color w:val="FF0000"/>
          <w:sz w:val="21"/>
          <w:szCs w:val="21"/>
          <w:lang w:val="en-US" w:eastAsia="zh-CN"/>
        </w:rPr>
        <w:t>提现需要T+1工作日到账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91125" cy="2491105"/>
            <wp:effectExtent l="0" t="0" r="5715" b="8255"/>
            <wp:docPr id="6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95" w:name="_Toc7774"/>
      <w:bookmarkStart w:id="96" w:name="_Toc29055"/>
      <w:r>
        <w:rPr>
          <w:rFonts w:hint="eastAsia" w:ascii="仿宋" w:hAnsi="仿宋" w:eastAsia="仿宋" w:cs="仿宋"/>
          <w:lang w:val="en-US" w:eastAsia="zh-CN"/>
        </w:rPr>
        <w:t>通知公告</w:t>
      </w:r>
      <w:bookmarkEnd w:id="95"/>
      <w:bookmarkEnd w:id="9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用户在手机端可以查看平台发布的公告。以公众号、小区为单位发布信息。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主要用来发布：活动、公告等消息。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1555115"/>
            <wp:effectExtent l="0" t="0" r="2540" b="14605"/>
            <wp:docPr id="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97" w:name="_Toc14161"/>
      <w:bookmarkStart w:id="98" w:name="_Toc20471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1公众号公告</w:t>
      </w:r>
      <w:bookmarkEnd w:id="97"/>
      <w:bookmarkEnd w:id="98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点击新增或者修改，发布后，整个公众号用户在充电页面都可以查看。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2446655"/>
            <wp:effectExtent l="0" t="0" r="14605" b="6985"/>
            <wp:docPr id="8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99" w:name="_Toc10307"/>
      <w:bookmarkStart w:id="100" w:name="_Toc27203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1小区公告</w:t>
      </w:r>
      <w:bookmarkEnd w:id="99"/>
      <w:bookmarkEnd w:id="100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点击新增或者修改，发布后，只有所绑定小区的用户在充电页面才可以查看。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2341880"/>
            <wp:effectExtent l="0" t="0" r="14605" b="5080"/>
            <wp:docPr id="7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  <w:lang w:val="en-US" w:eastAsia="zh-CN"/>
        </w:rPr>
      </w:pPr>
      <w:bookmarkStart w:id="101" w:name="_Toc12928"/>
      <w:bookmarkStart w:id="102" w:name="_Toc17012"/>
      <w:r>
        <w:rPr>
          <w:rFonts w:hint="eastAsia" w:ascii="仿宋" w:hAnsi="仿宋" w:eastAsia="仿宋" w:cs="仿宋"/>
          <w:lang w:val="en-US" w:eastAsia="zh-CN"/>
        </w:rPr>
        <w:t>导出管理</w:t>
      </w:r>
      <w:bookmarkEnd w:id="101"/>
      <w:bookmarkEnd w:id="102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下载</w:t>
      </w:r>
      <w:r>
        <w:rPr>
          <w:rFonts w:hint="eastAsia" w:ascii="仿宋" w:hAnsi="仿宋" w:eastAsia="仿宋" w:cs="仿宋"/>
          <w:b w:val="0"/>
          <w:bCs/>
          <w:sz w:val="21"/>
          <w:szCs w:val="21"/>
        </w:rPr>
        <w:t>提现账户信息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明细、</w:t>
      </w:r>
      <w:r>
        <w:rPr>
          <w:rFonts w:hint="eastAsia" w:ascii="仿宋" w:hAnsi="仿宋" w:eastAsia="仿宋" w:cs="仿宋"/>
          <w:b w:val="0"/>
          <w:bCs/>
          <w:sz w:val="21"/>
          <w:szCs w:val="21"/>
        </w:rPr>
        <w:t>提现管理信息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明细、消费订单明细、各类报表等。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214245"/>
            <wp:effectExtent l="0" t="0" r="4445" b="10795"/>
            <wp:docPr id="7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2"/>
        </w:numPr>
        <w:bidi w:val="0"/>
        <w:outlineLvl w:val="0"/>
        <w:rPr>
          <w:rFonts w:hint="eastAsia" w:ascii="仿宋" w:hAnsi="仿宋" w:eastAsia="仿宋" w:cs="仿宋"/>
        </w:rPr>
      </w:pPr>
      <w:bookmarkStart w:id="103" w:name="_Toc2878"/>
      <w:bookmarkStart w:id="104" w:name="_Toc11285"/>
      <w:r>
        <w:rPr>
          <w:rFonts w:hint="eastAsia" w:ascii="仿宋" w:hAnsi="仿宋" w:eastAsia="仿宋" w:cs="仿宋"/>
          <w:lang w:val="en-US" w:eastAsia="zh-CN"/>
        </w:rPr>
        <w:t>用户反馈</w:t>
      </w:r>
      <w:bookmarkEnd w:id="103"/>
      <w:bookmarkEnd w:id="104"/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105" w:name="_Toc11925"/>
      <w:bookmarkStart w:id="106" w:name="_Toc8766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1故障反馈</w:t>
      </w:r>
      <w:bookmarkEnd w:id="105"/>
      <w:bookmarkEnd w:id="106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用户端反馈的故障信息会在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故障反馈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中展示，作为管理员可以根据故障信息快速排查故障的设备，并且给用户回复处理结果。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3085465"/>
            <wp:effectExtent l="0" t="0" r="4445" b="8255"/>
            <wp:docPr id="7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251710" cy="1680210"/>
            <wp:effectExtent l="0" t="0" r="3810" b="11430"/>
            <wp:docPr id="8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854325" cy="1692275"/>
            <wp:effectExtent l="0" t="0" r="10795" b="14605"/>
            <wp:docPr id="8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107" w:name="_Toc16391"/>
      <w:bookmarkStart w:id="108" w:name="_Toc18831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2退款反馈</w:t>
      </w:r>
      <w:bookmarkEnd w:id="107"/>
      <w:bookmarkEnd w:id="108"/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用户端退款中遇到问题（关闭用户自主退款功能）可以提交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退款反馈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，该信息会在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退款反馈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中展示，作为管理员可以根据用户提交的信息做退款处理。</w:t>
      </w:r>
    </w:p>
    <w:p>
      <w:pPr>
        <w:pStyle w:val="21"/>
        <w:numPr>
          <w:ilvl w:val="0"/>
          <w:numId w:val="0"/>
        </w:numPr>
        <w:bidi w:val="0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1934210"/>
            <wp:effectExtent l="0" t="0" r="0" b="1270"/>
            <wp:docPr id="7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outlineLvl w:val="1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109" w:name="_Toc19647"/>
      <w:bookmarkStart w:id="110" w:name="_Toc3433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3意见反馈</w:t>
      </w:r>
      <w:bookmarkEnd w:id="109"/>
      <w:bookmarkEnd w:id="110"/>
    </w:p>
    <w:p>
      <w:pPr>
        <w:pStyle w:val="21"/>
        <w:numPr>
          <w:ilvl w:val="0"/>
          <w:numId w:val="0"/>
        </w:numPr>
        <w:bidi w:val="0"/>
        <w:jc w:val="left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用户端反馈的意见信息会在</w:t>
      </w:r>
      <w:r>
        <w:rPr>
          <w:rFonts w:hint="eastAsia" w:ascii="仿宋" w:hAnsi="仿宋" w:eastAsia="仿宋" w:cs="仿宋"/>
          <w:b w:val="0"/>
          <w:bCs/>
          <w:sz w:val="21"/>
          <w:szCs w:val="21"/>
          <w:u w:val="single"/>
          <w:lang w:val="en-US" w:eastAsia="zh-CN"/>
        </w:rPr>
        <w:t>意见反馈</w:t>
      </w:r>
      <w:r>
        <w:rPr>
          <w:rFonts w:hint="eastAsia" w:ascii="仿宋" w:hAnsi="仿宋" w:eastAsia="仿宋" w:cs="仿宋"/>
          <w:b w:val="0"/>
          <w:bCs/>
          <w:sz w:val="21"/>
          <w:szCs w:val="21"/>
          <w:lang w:val="en-US" w:eastAsia="zh-CN"/>
        </w:rPr>
        <w:t>中展示，作为管理员可以通过快速回复和编辑信息回复用户。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64150" cy="2465705"/>
            <wp:effectExtent l="0" t="0" r="8890" b="3175"/>
            <wp:docPr id="7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bidi w:val="0"/>
        <w:jc w:val="left"/>
        <w:outlineLvl w:val="9"/>
        <w:rPr>
          <w:rFonts w:hint="eastAsia" w:ascii="仿宋" w:hAnsi="仿宋" w:eastAsia="仿宋" w:cs="仿宋"/>
        </w:rPr>
      </w:pPr>
    </w:p>
    <w:p>
      <w:pPr>
        <w:pStyle w:val="21"/>
        <w:numPr>
          <w:ilvl w:val="0"/>
          <w:numId w:val="0"/>
        </w:numPr>
        <w:bidi w:val="0"/>
        <w:jc w:val="left"/>
        <w:outlineLvl w:val="9"/>
        <w:rPr>
          <w:rFonts w:hint="eastAsia" w:ascii="仿宋" w:hAnsi="仿宋" w:eastAsia="仿宋" w:cs="仿宋"/>
          <w:b w:val="0"/>
          <w:bCs/>
          <w:sz w:val="21"/>
          <w:szCs w:val="16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1"/>
          <w:szCs w:val="16"/>
          <w:lang w:val="en-US" w:eastAsia="zh-CN"/>
        </w:rPr>
        <w:t>到此平台讲解已结束。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37465</wp:posOffset>
            </wp:positionV>
            <wp:extent cx="6198235" cy="1906270"/>
            <wp:effectExtent l="0" t="0" r="4445" b="0"/>
            <wp:wrapNone/>
            <wp:docPr id="18" name="图片 18" descr="页尾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页尾-0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大宋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 w:ascii="仿宋" w:hAnsi="仿宋" w:eastAsia="仿宋" w:cs="仿宋"/>
        <w:b/>
        <w:bCs/>
        <w:color w:val="262626" w:themeColor="text1" w:themeTint="D9"/>
        <w:sz w:val="24"/>
        <w:szCs w:val="22"/>
        <w:lang w:val="en-US" w:eastAsia="zh-CN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利他|真诚|专业|开放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5387975</wp:posOffset>
              </wp:positionH>
              <wp:positionV relativeFrom="page">
                <wp:posOffset>8586470</wp:posOffset>
              </wp:positionV>
              <wp:extent cx="2232025" cy="2172335"/>
              <wp:effectExtent l="0" t="0" r="8255" b="6985"/>
              <wp:wrapNone/>
              <wp:docPr id="71" name="组合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232025" cy="2172335"/>
                        <a:chOff x="-17423" y="-1"/>
                        <a:chExt cx="2799842" cy="2808312"/>
                      </a:xfrm>
                    </wpg:grpSpPr>
                    <wps:wsp>
                      <wps:cNvPr id="36" name="任意多边形: 形状 35"/>
                      <wps:cNvSpPr/>
                      <wps:spPr>
                        <a:xfrm>
                          <a:off x="-17423" y="-1"/>
                          <a:ext cx="2799842" cy="280831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3" name="任意多边形: 形状 36"/>
                      <wps:cNvSpPr/>
                      <wps:spPr>
                        <a:xfrm>
                          <a:off x="-17423" y="-1"/>
                          <a:ext cx="2196457" cy="220310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" name="任意多边形: 形状 37"/>
                      <wps:cNvSpPr/>
                      <wps:spPr>
                        <a:xfrm>
                          <a:off x="-17423" y="-1"/>
                          <a:ext cx="1597410" cy="1602243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大宋简" w:hAnsi="汉仪大宋简" w:eastAsia="汉仪大宋简" w:cs="汉仪大宋简"/>
                                <w:color w:val="92D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34" o:spid="_x0000_s1026" o:spt="203" style="position:absolute;left:0pt;margin-left:424.25pt;margin-top:676.1pt;height:171.05pt;width:175.75pt;mso-position-horizontal-relative:page;mso-position-vertical-relative:page;rotation:11796480f;z-index:251662336;mso-width-relative:page;mso-height-relative:page;" coordorigin="-17423,-1" coordsize="2799842,2808312" o:gfxdata="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">
              <o:lock v:ext="edit" aspectratio="f"/>
              <v:shape id="任意多边形: 形状 35" o:spid="_x0000_s1026" o:spt="100" style="position:absolute;left:-17423;top:-1;height:2808312;width:2799842;v-text-anchor:middle;" fillcolor="#D9D9D9 [2732]" filled="t" stroked="f" coordsize="1597410,1602243" o:gfxdata="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bEjgvQAA&#10;ANsAAAAPAAAAAAAAAAEAIAAAACIAAABkcnMvZG93bnJldi54bWxQSwECFAAUAAAACACHTuJAMy8F&#10;njsAAAA5AAAAEAAAAAAAAAABACAAAAAMAQAAZHJzL3NoYXBleG1sLnhtbFBLBQYAAAAABgAGAFsB&#10;AAC2AwAAAAA=&#10;" path="m0,0l1597410,9213c757451,94516,89683,762284,4380,1602243l0,0xe">
                <v:path o:connectlocs="0,0;2799842,16147;7676,280831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任意多边形: 形状 36" o:spid="_x0000_s1026" o:spt="100" style="position:absolute;left:-17423;top:-1;height:2203102;width:2196457;v-text-anchor:middle;" fillcolor="#595959 [2109]" filled="t" stroked="f" coordsize="1597410,1602243" o:gfxdata="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/8TrsAAADb&#10;AAAADwAAAAAAAAABACAAAAAiAAAAZHJzL2Rvd25yZXYueG1sUEsBAhQAFAAAAAgAh07iQDMvBZ47&#10;AAAAOQAAABAAAAAAAAAAAQAgAAAACgEAAGRycy9zaGFwZXhtbC54bWxQSwUGAAAAAAYABgBbAQAA&#10;tAMAAAAA&#10;" path="m0,0l1597410,9213c757451,94516,89683,762284,4380,1602243l0,0xe">
                <v:path o:connectlocs="0,0;2196457,12667;6022,2203102;0,0" o:connectangles="0,0,0,0"/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  <v:shape id="任意多边形: 形状 37" o:spid="_x0000_s1026" o:spt="100" style="position:absolute;left:-17423;top:-1;height:1602243;width:1597410;v-text-anchor:middle;" fillcolor="#000000 [3213]" filled="t" stroked="f" coordsize="1597410,1602243" o:gfxdata="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xUT65AAAA2wAA&#10;AA8AAAAAAAAAAQAgAAAAIgAAAGRycy9kb3ducmV2LnhtbFBLAQIUABQAAAAIAIdO4kAzLwWeOwAA&#10;ADkAAAAQAAAAAAAAAAEAIAAAAAgBAABkcnMvc2hhcGV4bWwueG1sUEsFBgAAAAAGAAYAWwEAALID&#10;AAAAAA==&#10;" path="m0,0l1597410,9213c757451,94516,89683,762284,4380,1602243l0,0xe">
                <v:path textboxrect="0,0,1597410,1602243" o:connectlocs="0,0;1597410,9213;4380,1602243;0,0" o:connectangles="0,0,0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大宋简" w:hAnsi="汉仪大宋简" w:eastAsia="汉仪大宋简" w:cs="汉仪大宋简"/>
                          <w:color w:val="92D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/>
        <w:lang w:val="en-US"/>
      </w:rPr>
    </w:pPr>
    <w:r>
      <w:rPr>
        <w:rFonts w:hint="eastAsia" w:ascii="仿宋" w:hAnsi="仿宋" w:eastAsia="仿宋" w:cs="仿宋"/>
        <w:b/>
        <w:bCs/>
        <w:color w:val="262626" w:themeColor="text1" w:themeTint="D9"/>
        <w:sz w:val="24"/>
        <w:szCs w:val="22"/>
        <w:lang w:val="en-US" w:eastAsia="zh-CN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利他|真诚|专业|开放|正直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3388360</wp:posOffset>
              </wp:positionH>
              <wp:positionV relativeFrom="paragraph">
                <wp:posOffset>-151130</wp:posOffset>
              </wp:positionV>
              <wp:extent cx="2552700" cy="306705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0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仿宋" w:hAnsi="仿宋" w:eastAsia="仿宋" w:cs="仿宋"/>
                              <w:b w:val="0"/>
                              <w:bCs/>
                              <w:spacing w:val="28"/>
                              <w:sz w:val="22"/>
                              <w:szCs w:val="22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 w:val="0"/>
                              <w:bCs/>
                              <w:spacing w:val="28"/>
                              <w:sz w:val="22"/>
                              <w:szCs w:val="22"/>
                              <w:u w:val="none"/>
                              <w:lang w:val="en-US" w:eastAsia="zh-CN"/>
                            </w:rPr>
                            <w:t>智能充电平台PC端功能介绍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6.8pt;margin-top:-11.9pt;height:24.15pt;width:201pt;z-index:251665408;mso-width-relative:page;mso-height-relative:page;" filled="f" stroked="f" coordsize="21600,21600" o:gfxdata="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CzIfNsAAAAKAQAADwAAAAAAAAABACAAAAAiAAAA&#10;ZHJzL2Rvd25yZXYueG1sUEsBAhQAFAAAAAgAh07iQOSw9z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仿宋" w:hAnsi="仿宋" w:eastAsia="仿宋" w:cs="仿宋"/>
                        <w:b w:val="0"/>
                        <w:bCs/>
                        <w:spacing w:val="28"/>
                        <w:sz w:val="22"/>
                        <w:szCs w:val="22"/>
                        <w:u w:val="none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b w:val="0"/>
                        <w:bCs/>
                        <w:spacing w:val="28"/>
                        <w:sz w:val="22"/>
                        <w:szCs w:val="22"/>
                        <w:u w:val="none"/>
                        <w:lang w:val="en-US" w:eastAsia="zh-CN"/>
                      </w:rPr>
                      <w:t>智能充电平台PC端功能介绍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140335</wp:posOffset>
              </wp:positionV>
              <wp:extent cx="6347460" cy="0"/>
              <wp:effectExtent l="0" t="13970" r="7620" b="16510"/>
              <wp:wrapNone/>
              <wp:docPr id="99" name="直接连接符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7460" cy="0"/>
                      </a:xfrm>
                      <a:prstGeom prst="line">
                        <a:avLst/>
                      </a:prstGeom>
                      <a:ln w="28575">
                        <a:gradFill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alpha val="0"/>
                              </a:srgbClr>
                            </a:gs>
                          </a:gsLst>
                          <a:lin ang="9720000" scaled="1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41.85pt;margin-top:11.05pt;height:0pt;width:499.8pt;z-index:251664384;mso-width-relative:page;mso-height-relative:page;" filled="f" stroked="t" coordsize="21600,21600" o:gfxdata="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LXmSbXAAAACQEAAA8AAAAAAAAAAQAgAAAAIgAAAGRycy9kb3ducmV2LnhtbFBLAQIUABQAAAAI&#10;AIdO4kDiCztvJwIAAEsEAAAOAAAAAAAAAAEAIAAAACYBAABkcnMvZTJvRG9jLnhtbFBLBQYAAAAA&#10;BgAGAFkBAAC/BQAAAAA=&#10;">
              <v:fill on="f" focussize="0,0"/>
              <v:stroke weight="2.25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-196215</wp:posOffset>
              </wp:positionV>
              <wp:extent cx="1030605" cy="362585"/>
              <wp:effectExtent l="0" t="0" r="0" b="0"/>
              <wp:wrapNone/>
              <wp:docPr id="96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0605" cy="362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仿宋" w:hAnsi="仿宋" w:eastAsia="仿宋" w:cs="仿宋"/>
                              <w:b w:val="0"/>
                              <w:bCs w:val="0"/>
                              <w:sz w:val="28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 w:val="0"/>
                              <w:bCs w:val="0"/>
                              <w:sz w:val="28"/>
                              <w:szCs w:val="24"/>
                              <w:lang w:val="en-US" w:eastAsia="zh-CN"/>
                            </w:rPr>
                            <w:drawing>
                              <wp:inline distT="0" distB="0" distL="114300" distR="114300">
                                <wp:extent cx="874395" cy="216535"/>
                                <wp:effectExtent l="0" t="0" r="9525" b="12700"/>
                                <wp:docPr id="97" name="图片 97" descr="友电集团_画板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图片 97" descr="友电集团_画板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-2611" t="-9127" r="-1828" b="5019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4395" cy="216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39.6pt;margin-top:-15.45pt;height:28.55pt;width:81.15pt;z-index:251663360;mso-width-relative:page;mso-height-relative:page;" filled="f" stroked="f" coordsize="21600,21600" o:gfxdata="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EtAkdsAAAAJAQAADwAAAAAAAAABACAAAAAiAAAA&#10;ZHJzL2Rvd25yZXYueG1sUEsBAhQAFAAAAAgAh07iQKdh0X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仿宋" w:hAnsi="仿宋" w:eastAsia="仿宋" w:cs="仿宋"/>
                        <w:b w:val="0"/>
                        <w:bCs w:val="0"/>
                        <w:sz w:val="28"/>
                        <w:szCs w:val="24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b w:val="0"/>
                        <w:bCs w:val="0"/>
                        <w:sz w:val="28"/>
                        <w:szCs w:val="24"/>
                        <w:lang w:val="en-US" w:eastAsia="zh-CN"/>
                      </w:rPr>
                      <w:drawing>
                        <wp:inline distT="0" distB="0" distL="114300" distR="114300">
                          <wp:extent cx="874395" cy="216535"/>
                          <wp:effectExtent l="0" t="0" r="9525" b="12700"/>
                          <wp:docPr id="97" name="图片 97" descr="友电集团_画板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" name="图片 97" descr="友电集团_画板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rcRect l="-2611" t="-9127" r="-1828" b="5019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395" cy="216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</w:t>
    </w:r>
    <w:r>
      <w:t xml:space="preserve"> </w:t>
    </w:r>
    <w:r>
      <w:rPr>
        <w:rFonts w:hint="eastAsia"/>
      </w:rPr>
      <w:t xml:space="preserve">                                   </w:t>
    </w:r>
    <w:r>
      <w:rPr>
        <w:rFonts w:hint="eastAsia" w:ascii="微软雅黑" w:hAnsi="微软雅黑" w:eastAsia="微软雅黑" w:cs="微软雅黑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-1153160</wp:posOffset>
              </wp:positionH>
              <wp:positionV relativeFrom="paragraph">
                <wp:posOffset>-588010</wp:posOffset>
              </wp:positionV>
              <wp:extent cx="3140075" cy="3160395"/>
              <wp:effectExtent l="0" t="0" r="14605" b="9525"/>
              <wp:wrapNone/>
              <wp:docPr id="70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-7620"/>
                        <a:ext cx="3140075" cy="3160395"/>
                        <a:chOff x="-17423" y="-10447"/>
                        <a:chExt cx="2799842" cy="2818758"/>
                      </a:xfrm>
                    </wpg:grpSpPr>
                    <wps:wsp>
                      <wps:cNvPr id="21" name="任意多边形: 形状 20"/>
                      <wps:cNvSpPr/>
                      <wps:spPr>
                        <a:xfrm>
                          <a:off x="-17423" y="-1"/>
                          <a:ext cx="2799842" cy="280831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" name="任意多边形: 形状 19"/>
                      <wps:cNvSpPr/>
                      <wps:spPr>
                        <a:xfrm>
                          <a:off x="-17423" y="-1"/>
                          <a:ext cx="2196457" cy="220310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任意多边形: 形状 15"/>
                      <wps:cNvSpPr/>
                      <wps:spPr>
                        <a:xfrm>
                          <a:off x="-17423" y="-10447"/>
                          <a:ext cx="1597150" cy="1602636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大宋简" w:hAnsi="汉仪大宋简" w:eastAsia="汉仪大宋简" w:cs="汉仪大宋简"/>
                                <w:color w:val="92D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3" o:spid="_x0000_s1026" o:spt="203" style="position:absolute;left:0pt;margin-left:-90.8pt;margin-top:-46.3pt;height:248.85pt;width:247.25pt;z-index:251661312;mso-width-relative:page;mso-height-relative:page;" coordorigin="-17423,-10447" coordsize="2799842,2818758" o:gfxdata="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">
              <o:lock v:ext="edit" aspectratio="f"/>
              <v:shape id="任意多边形: 形状 20" o:spid="_x0000_s1026" o:spt="100" style="position:absolute;left:-17423;top:-1;height:2808312;width:2799842;v-text-anchor:middle;" fillcolor="#D9D9D9 [2732]" filled="t" stroked="f" coordsize="1597410,1602243" o:gfxdata="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cRkm8AAAA&#10;2wAAAA8AAAAAAAAAAQAgAAAAIgAAAGRycy9kb3ducmV2LnhtbFBLAQIUABQAAAAIAIdO4kAzLwWe&#10;OwAAADkAAAAQAAAAAAAAAAEAIAAAAAsBAABkcnMvc2hhcGV4bWwueG1sUEsFBgAAAAAGAAYAWwEA&#10;ALUDAAAAAA==&#10;" path="m0,0l1597410,9213c757451,94516,89683,762284,4380,1602243l0,0xe">
                <v:path o:connectlocs="0,0;2799842,16147;7676,280831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任意多边形: 形状 19" o:spid="_x0000_s1026" o:spt="100" style="position:absolute;left:-17423;top:-1;height:2203102;width:2196457;v-text-anchor:middle;" fillcolor="#92D050" filled="t" stroked="f" coordsize="1597410,1602243" o:gfxdata="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6Q3+ugAAANsA&#10;AAAPAAAAAAAAAAEAIAAAACIAAABkcnMvZG93bnJldi54bWxQSwECFAAUAAAACACHTuJAMy8FnjsA&#10;AAA5AAAAEAAAAAAAAAABACAAAAAJAQAAZHJzL3NoYXBleG1sLnhtbFBLBQYAAAAABgAGAFsBAACz&#10;AwAAAAA=&#10;" path="m0,0l1597410,9213c757451,94516,89683,762284,4380,1602243l0,0xe">
                <v:path o:connectlocs="0,0;2196457,12667;6022,220310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  <v:shape id="任意多边形: 形状 15" o:spid="_x0000_s1026" o:spt="100" style="position:absolute;left:-17423;top:-10447;height:1602636;width:1597150;v-text-anchor:middle;" fillcolor="#000000 [3213]" filled="t" stroked="f" coordsize="1597410,1602243" o:gfxdata="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zy3ugAAANsA&#10;AAAPAAAAAAAAAAEAIAAAACIAAABkcnMvZG93bnJldi54bWxQSwECFAAUAAAACACHTuJAMy8FnjsA&#10;AAA5AAAAEAAAAAAAAAABACAAAAAJAQAAZHJzL3NoYXBleG1sLnhtbFBLBQYAAAAABgAGAFsBAACz&#10;AwAAAAA=&#10;" path="m0,0l1597410,9213c757451,94516,89683,762284,4380,1602243l0,0xe">
                <v:path textboxrect="0,0,1597410,1602243" o:connectlocs="0,0;1597150,9215;4379,1602636;0,0" o:connectangles="0,0,0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大宋简" w:hAnsi="汉仪大宋简" w:eastAsia="汉仪大宋简" w:cs="汉仪大宋简"/>
                          <w:color w:val="92D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799609"/>
    <w:multiLevelType w:val="singleLevel"/>
    <w:tmpl w:val="CB7996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6186611"/>
    <w:multiLevelType w:val="singleLevel"/>
    <w:tmpl w:val="3618661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3A0C86E"/>
    <w:multiLevelType w:val="singleLevel"/>
    <w:tmpl w:val="53A0C86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3DA3C5B"/>
    <w:multiLevelType w:val="singleLevel"/>
    <w:tmpl w:val="53DA3C5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AF95E5D"/>
    <w:multiLevelType w:val="multilevel"/>
    <w:tmpl w:val="5AF95E5D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2.%2、"/>
      <w:lvlJc w:val="left"/>
      <w:pPr>
        <w:ind w:left="850" w:hanging="425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275" w:hanging="425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5">
    <w:nsid w:val="60C7D061"/>
    <w:multiLevelType w:val="singleLevel"/>
    <w:tmpl w:val="60C7D06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44C78BE"/>
    <w:multiLevelType w:val="singleLevel"/>
    <w:tmpl w:val="644C78B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7BCDC4D0"/>
    <w:multiLevelType w:val="singleLevel"/>
    <w:tmpl w:val="7BCDC4D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wYTljYjgxNDdkMDU4NjY0ZGQ2NDVmNzE5NTY4MjEifQ=="/>
  </w:docVars>
  <w:rsids>
    <w:rsidRoot w:val="3DFC0385"/>
    <w:rsid w:val="01FE71FC"/>
    <w:rsid w:val="026B7AFB"/>
    <w:rsid w:val="03F914B2"/>
    <w:rsid w:val="04E02811"/>
    <w:rsid w:val="0796495D"/>
    <w:rsid w:val="098060ED"/>
    <w:rsid w:val="0C050A30"/>
    <w:rsid w:val="0C346B5F"/>
    <w:rsid w:val="0DC55351"/>
    <w:rsid w:val="0F252BDE"/>
    <w:rsid w:val="102F7D69"/>
    <w:rsid w:val="13F305DC"/>
    <w:rsid w:val="14B27E01"/>
    <w:rsid w:val="14E100C9"/>
    <w:rsid w:val="178E686B"/>
    <w:rsid w:val="17C22421"/>
    <w:rsid w:val="17E4768B"/>
    <w:rsid w:val="1A844B8C"/>
    <w:rsid w:val="1B6011F0"/>
    <w:rsid w:val="1DD80528"/>
    <w:rsid w:val="1ED85D30"/>
    <w:rsid w:val="1FBC3631"/>
    <w:rsid w:val="20AD1959"/>
    <w:rsid w:val="21D218CB"/>
    <w:rsid w:val="2243349F"/>
    <w:rsid w:val="24B4683F"/>
    <w:rsid w:val="25C64CEA"/>
    <w:rsid w:val="26C757A8"/>
    <w:rsid w:val="26D4665E"/>
    <w:rsid w:val="2B54022C"/>
    <w:rsid w:val="302951A6"/>
    <w:rsid w:val="319F0250"/>
    <w:rsid w:val="36193571"/>
    <w:rsid w:val="384A4956"/>
    <w:rsid w:val="398C57F5"/>
    <w:rsid w:val="3B8A4E62"/>
    <w:rsid w:val="3C8829BB"/>
    <w:rsid w:val="3CB32AF3"/>
    <w:rsid w:val="3CD30491"/>
    <w:rsid w:val="3DA700C6"/>
    <w:rsid w:val="3DC94AAA"/>
    <w:rsid w:val="3DFC0385"/>
    <w:rsid w:val="4230321D"/>
    <w:rsid w:val="43562ED5"/>
    <w:rsid w:val="43B81625"/>
    <w:rsid w:val="43D478AD"/>
    <w:rsid w:val="44DD3CBB"/>
    <w:rsid w:val="47062A4D"/>
    <w:rsid w:val="4CE577E5"/>
    <w:rsid w:val="50C03AEB"/>
    <w:rsid w:val="51483E4D"/>
    <w:rsid w:val="519C4558"/>
    <w:rsid w:val="53836E86"/>
    <w:rsid w:val="54A807DB"/>
    <w:rsid w:val="55057939"/>
    <w:rsid w:val="55926F0F"/>
    <w:rsid w:val="57211790"/>
    <w:rsid w:val="594B256B"/>
    <w:rsid w:val="5AB05377"/>
    <w:rsid w:val="5D932C87"/>
    <w:rsid w:val="5FF52D6F"/>
    <w:rsid w:val="605414A7"/>
    <w:rsid w:val="60C02D12"/>
    <w:rsid w:val="614D3EAC"/>
    <w:rsid w:val="61962094"/>
    <w:rsid w:val="6736035C"/>
    <w:rsid w:val="676C00D0"/>
    <w:rsid w:val="67B3780A"/>
    <w:rsid w:val="67F02AB0"/>
    <w:rsid w:val="68A81461"/>
    <w:rsid w:val="68CE5920"/>
    <w:rsid w:val="6A21709A"/>
    <w:rsid w:val="6B1677C8"/>
    <w:rsid w:val="6C59427C"/>
    <w:rsid w:val="6C5F12FD"/>
    <w:rsid w:val="6CE16616"/>
    <w:rsid w:val="6D2A0812"/>
    <w:rsid w:val="743A3C70"/>
    <w:rsid w:val="74453428"/>
    <w:rsid w:val="75E1612D"/>
    <w:rsid w:val="76173A5B"/>
    <w:rsid w:val="79221A26"/>
    <w:rsid w:val="798931B6"/>
    <w:rsid w:val="7AF21065"/>
    <w:rsid w:val="7BAD02FC"/>
    <w:rsid w:val="7BEE2DB5"/>
    <w:rsid w:val="7CAB451D"/>
    <w:rsid w:val="7D4851FB"/>
    <w:rsid w:val="7D6A5169"/>
    <w:rsid w:val="7E843AFA"/>
    <w:rsid w:val="7F7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Theme="majorEastAsia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outlineLvl w:val="2"/>
    </w:pPr>
    <w:rPr>
      <w:b/>
      <w:bCs/>
      <w:sz w:val="30"/>
      <w:szCs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4">
    <w:name w:val="表格文字"/>
    <w:basedOn w:val="1"/>
    <w:autoRedefine/>
    <w:qFormat/>
    <w:uiPriority w:val="0"/>
    <w:pPr>
      <w:jc w:val="left"/>
    </w:pPr>
    <w:rPr>
      <w:bCs/>
      <w:spacing w:val="10"/>
      <w:sz w:val="24"/>
    </w:rPr>
  </w:style>
  <w:style w:type="paragraph" w:customStyle="1" w:styleId="15">
    <w:name w:val="Center"/>
    <w:basedOn w:val="1"/>
    <w:autoRedefine/>
    <w:qFormat/>
    <w:uiPriority w:val="0"/>
    <w:pPr>
      <w:spacing w:after="240" w:line="380" w:lineRule="exact"/>
      <w:ind w:left="851"/>
      <w:jc w:val="center"/>
    </w:pPr>
    <w:rPr>
      <w:rFonts w:ascii="Calibri" w:hAnsi="Calibri" w:eastAsia="华文楷体"/>
      <w:sz w:val="28"/>
      <w:szCs w:val="28"/>
      <w:lang w:eastAsia="zh-TW"/>
    </w:rPr>
  </w:style>
  <w:style w:type="paragraph" w:customStyle="1" w:styleId="16">
    <w:name w:val="List Paragraph1"/>
    <w:basedOn w:val="1"/>
    <w:autoRedefine/>
    <w:qFormat/>
    <w:uiPriority w:val="0"/>
    <w:pPr>
      <w:widowControl w:val="0"/>
      <w:spacing w:before="0" w:beforeLines="0" w:after="0" w:afterLines="0" w:line="240" w:lineRule="auto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17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8">
    <w:name w:val="font0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9">
    <w:name w:val="font9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table" w:customStyle="1" w:styleId="20">
    <w:name w:val="网格型1"/>
    <w:basedOn w:val="1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1">
    <w:name w:val="1"/>
    <w:basedOn w:val="8"/>
    <w:autoRedefine/>
    <w:qFormat/>
    <w:uiPriority w:val="0"/>
    <w:rPr>
      <w:rFonts w:asciiTheme="minorAscii" w:hAnsiTheme="minorAscii"/>
      <w:b/>
      <w:sz w:val="24"/>
    </w:rPr>
  </w:style>
  <w:style w:type="paragraph" w:customStyle="1" w:styleId="22">
    <w:name w:val="一"/>
    <w:basedOn w:val="8"/>
    <w:autoRedefine/>
    <w:qFormat/>
    <w:uiPriority w:val="0"/>
    <w:rPr>
      <w:rFonts w:asciiTheme="minorAscii" w:hAnsiTheme="minorAscii"/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image" Target="media/image2.png"/><Relationship Id="rId89" Type="http://schemas.openxmlformats.org/officeDocument/2006/relationships/customXml" Target="../customXml/item1.xml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3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4556</Words>
  <Characters>5002</Characters>
  <Lines>0</Lines>
  <Paragraphs>0</Paragraphs>
  <TotalTime>9</TotalTime>
  <ScaleCrop>false</ScaleCrop>
  <LinksUpToDate>false</LinksUpToDate>
  <CharactersWithSpaces>5372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2023-09-26T09:02:00Z</dcterms:created>
  <dc:creator>chen</dc:creator>
  <cp:lastModifiedBy>龚婷婷</cp:lastModifiedBy>
  <dcterms:modified xsi:type="dcterms:W3CDTF">2024-05-31T09:36:18Z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B8E24282D22F45DBA385B3AE0BACFDED_13</vt:lpwstr>
  </property>
</Properties>
</file>